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2ED574D8" w:rsidR="00B0627C" w:rsidRPr="0040700D" w:rsidRDefault="00B0627C" w:rsidP="00B0627C">
      <w:pPr>
        <w:pStyle w:val="Header"/>
        <w:tabs>
          <w:tab w:val="right" w:pos="9639"/>
        </w:tabs>
        <w:rPr>
          <w:rFonts w:cs="Arial"/>
          <w:noProof w:val="0"/>
          <w:color w:val="000000" w:themeColor="text1"/>
          <w:sz w:val="24"/>
          <w:szCs w:val="24"/>
          <w:lang w:val="en-GB"/>
        </w:rPr>
      </w:pPr>
      <w:bookmarkStart w:id="0" w:name="OLE_LINK103"/>
      <w:bookmarkStart w:id="1" w:name="OLE_LINK104"/>
      <w:bookmarkStart w:id="2" w:name="_GoBack"/>
      <w:bookmarkEnd w:id="2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40700D">
        <w:rPr>
          <w:rFonts w:cs="Arial"/>
          <w:bCs/>
          <w:noProof w:val="0"/>
          <w:sz w:val="24"/>
          <w:szCs w:val="24"/>
          <w:lang w:val="en-GB"/>
        </w:rPr>
        <w:t>94</w:t>
      </w:r>
      <w:r w:rsidR="00647CD1">
        <w:rPr>
          <w:rFonts w:cs="Arial"/>
          <w:bCs/>
          <w:noProof w:val="0"/>
          <w:sz w:val="24"/>
          <w:szCs w:val="24"/>
          <w:lang w:val="en-GB"/>
        </w:rPr>
        <w:t>-e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DA65A0" w:rsidRPr="00DA65A0">
        <w:rPr>
          <w:rFonts w:cs="Arial"/>
          <w:noProof w:val="0"/>
          <w:color w:val="000000" w:themeColor="text1"/>
          <w:sz w:val="24"/>
          <w:szCs w:val="24"/>
          <w:lang w:val="en-GB"/>
        </w:rPr>
        <w:t>R4-2001793</w:t>
      </w:r>
    </w:p>
    <w:p w14:paraId="6690EA9E" w14:textId="30E7313C" w:rsidR="00C23161" w:rsidRPr="0040700D" w:rsidRDefault="00647CD1" w:rsidP="00C23161">
      <w:pPr>
        <w:pStyle w:val="Header"/>
        <w:tabs>
          <w:tab w:val="right" w:pos="9639"/>
        </w:tabs>
        <w:rPr>
          <w:rFonts w:cs="Arial"/>
          <w:noProof w:val="0"/>
          <w:color w:val="000000" w:themeColor="text1"/>
          <w:sz w:val="24"/>
          <w:szCs w:val="24"/>
          <w:lang w:val="en-GB"/>
        </w:rPr>
      </w:pPr>
      <w:r w:rsidRPr="00647CD1">
        <w:rPr>
          <w:rFonts w:cs="Arial"/>
          <w:noProof w:val="0"/>
          <w:color w:val="000000" w:themeColor="text1"/>
          <w:sz w:val="24"/>
          <w:szCs w:val="24"/>
          <w:lang w:val="en-GB"/>
        </w:rPr>
        <w:t>Electronic Meeting</w:t>
      </w:r>
      <w:r w:rsidR="00C23161"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, </w:t>
      </w:r>
      <w:r w:rsidR="000245FD"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>2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>4</w:t>
      </w:r>
      <w:r w:rsidR="00C23161" w:rsidRPr="0013617C"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th</w:t>
      </w:r>
      <w:r w:rsid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F</w:t>
      </w:r>
      <w:r w:rsidR="00171CC8"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>eb</w:t>
      </w:r>
      <w:r w:rsidR="00C23161"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>.</w:t>
      </w:r>
      <w:r w:rsid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</w:t>
      </w:r>
      <w:r w:rsidR="0013617C" w:rsidRPr="009A1AEC">
        <w:rPr>
          <w:sz w:val="24"/>
        </w:rPr>
        <w:t>–</w:t>
      </w:r>
      <w:r w:rsid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>6</w:t>
      </w:r>
      <w:r w:rsidR="0013617C" w:rsidRPr="0013617C"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t</w:t>
      </w:r>
      <w:r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h</w:t>
      </w:r>
      <w:r w:rsidR="0013617C"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Mar</w:t>
      </w:r>
      <w:r w:rsidR="0013617C">
        <w:rPr>
          <w:rFonts w:cs="Arial"/>
          <w:noProof w:val="0"/>
          <w:color w:val="000000" w:themeColor="text1"/>
          <w:sz w:val="24"/>
          <w:szCs w:val="24"/>
          <w:lang w:val="en-GB"/>
        </w:rPr>
        <w:t>.</w:t>
      </w:r>
      <w:r w:rsidR="00C23161" w:rsidRPr="0040700D">
        <w:rPr>
          <w:rFonts w:cs="Arial"/>
          <w:noProof w:val="0"/>
          <w:color w:val="000000" w:themeColor="text1"/>
          <w:sz w:val="24"/>
          <w:szCs w:val="24"/>
          <w:lang w:val="en-GB"/>
        </w:rPr>
        <w:t>, 20</w:t>
      </w:r>
      <w:r w:rsidR="00171CC8">
        <w:rPr>
          <w:rFonts w:cs="Arial"/>
          <w:noProof w:val="0"/>
          <w:color w:val="000000" w:themeColor="text1"/>
          <w:sz w:val="24"/>
          <w:szCs w:val="24"/>
          <w:lang w:val="en-GB"/>
        </w:rPr>
        <w:t>20</w:t>
      </w:r>
      <w:r w:rsidR="00C23161" w:rsidRPr="0040700D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 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532F6BFC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647CD1" w:rsidRPr="00647CD1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8</w:t>
      </w:r>
      <w:r w:rsidR="00C23161" w:rsidRPr="00647CD1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</w:t>
      </w:r>
      <w:r w:rsidR="0011209C" w:rsidRPr="00647CD1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7</w:t>
      </w:r>
      <w:r w:rsidR="00C23161" w:rsidRPr="00647CD1"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TW"/>
        </w:rPr>
        <w:t>.</w:t>
      </w:r>
      <w:r w:rsidR="0011209C" w:rsidRPr="00647CD1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TW"/>
        </w:rPr>
        <w:t>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77777777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>
        <w:rPr>
          <w:rFonts w:ascii="Arial" w:hAnsi="Arial" w:cs="Arial"/>
          <w:b/>
          <w:bCs/>
          <w:color w:val="000000" w:themeColor="text1"/>
        </w:rPr>
        <w:t>Discussion</w:t>
      </w:r>
      <w:r w:rsidRPr="00E91736">
        <w:rPr>
          <w:rFonts w:ascii="Arial" w:hAnsi="Arial" w:cs="Arial"/>
          <w:b/>
          <w:bCs/>
          <w:color w:val="000000" w:themeColor="text1"/>
        </w:rPr>
        <w:t xml:space="preserve"> on </w:t>
      </w:r>
      <w:r w:rsidRPr="00634C42">
        <w:rPr>
          <w:rFonts w:ascii="Arial" w:hAnsi="Arial" w:cs="Arial"/>
          <w:b/>
          <w:bCs/>
          <w:color w:val="000000" w:themeColor="text1"/>
        </w:rPr>
        <w:t xml:space="preserve">UE dynamic adaptation to the maximum number of MIMO layers 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6773133F" w14:textId="77777777" w:rsidR="008A7B19" w:rsidRDefault="001965A3" w:rsidP="00B429B9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ascii="Times New Roman" w:eastAsia="SimSun" w:hAnsi="Times New Roman" w:cs="Times New Roman"/>
          <w:bCs/>
          <w:color w:val="FF0000"/>
          <w:szCs w:val="20"/>
          <w:lang w:val="en-GB"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>
        <w:rPr>
          <w:rFonts w:eastAsiaTheme="minorEastAsia" w:cs="Arial"/>
          <w:sz w:val="22"/>
          <w:lang w:eastAsia="zh-CN"/>
        </w:rPr>
        <w:t>RAN4 #92 meeting, companies agreed a WF</w:t>
      </w:r>
      <w:r w:rsidR="000E5C1C">
        <w:rPr>
          <w:rFonts w:eastAsiaTheme="minorEastAsia" w:cs="Arial"/>
          <w:sz w:val="22"/>
          <w:lang w:eastAsia="zh-CN"/>
        </w:rPr>
        <w:t xml:space="preserve"> </w:t>
      </w:r>
      <w:r w:rsidR="000E5C1C">
        <w:rPr>
          <w:rFonts w:eastAsiaTheme="minorEastAsia" w:cs="Arial"/>
          <w:sz w:val="22"/>
          <w:lang w:eastAsia="zh-CN"/>
        </w:rPr>
        <w:fldChar w:fldCharType="begin"/>
      </w:r>
      <w:r w:rsidR="000E5C1C">
        <w:rPr>
          <w:rFonts w:eastAsiaTheme="minorEastAsia" w:cs="Arial"/>
          <w:sz w:val="22"/>
          <w:lang w:eastAsia="zh-CN"/>
        </w:rPr>
        <w:instrText xml:space="preserve"> REF _Ref23800975 \r \h </w:instrText>
      </w:r>
      <w:r w:rsidR="000E5C1C">
        <w:rPr>
          <w:rFonts w:eastAsiaTheme="minorEastAsia" w:cs="Arial"/>
          <w:sz w:val="22"/>
          <w:lang w:eastAsia="zh-CN"/>
        </w:rPr>
      </w:r>
      <w:r w:rsidR="000E5C1C">
        <w:rPr>
          <w:rFonts w:eastAsiaTheme="minorEastAsia" w:cs="Arial"/>
          <w:sz w:val="22"/>
          <w:lang w:eastAsia="zh-CN"/>
        </w:rPr>
        <w:fldChar w:fldCharType="separate"/>
      </w:r>
      <w:r w:rsidR="00C151DD">
        <w:rPr>
          <w:rFonts w:eastAsiaTheme="minorEastAsia" w:cs="Arial"/>
          <w:sz w:val="22"/>
          <w:lang w:eastAsia="zh-CN"/>
        </w:rPr>
        <w:t>[1]</w:t>
      </w:r>
      <w:r w:rsidR="000E5C1C"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separated the discussion</w:t>
      </w:r>
      <w:r w:rsidR="007743B4">
        <w:rPr>
          <w:rFonts w:eastAsiaTheme="minorEastAsia" w:cs="Arial"/>
          <w:sz w:val="22"/>
          <w:lang w:eastAsia="zh-CN"/>
        </w:rPr>
        <w:t>s</w:t>
      </w:r>
      <w:r>
        <w:rPr>
          <w:rFonts w:eastAsiaTheme="minorEastAsia" w:cs="Arial"/>
          <w:sz w:val="22"/>
          <w:lang w:eastAsia="zh-CN"/>
        </w:rPr>
        <w:t xml:space="preserve"> on switching delay and interruption times for UE maximal</w:t>
      </w:r>
      <w:r w:rsidRPr="00A343E8">
        <w:rPr>
          <w:rFonts w:eastAsiaTheme="minorEastAsia" w:cs="Arial"/>
          <w:sz w:val="22"/>
          <w:lang w:eastAsia="zh-CN"/>
        </w:rPr>
        <w:t xml:space="preserve"> MIMO layers</w:t>
      </w:r>
      <w:r>
        <w:rPr>
          <w:rFonts w:eastAsiaTheme="minorEastAsia" w:cs="Arial"/>
          <w:sz w:val="22"/>
          <w:lang w:eastAsia="zh-CN"/>
        </w:rPr>
        <w:t xml:space="preserve"> </w:t>
      </w:r>
      <w:r w:rsidRPr="00A343E8">
        <w:rPr>
          <w:rFonts w:eastAsiaTheme="minorEastAsia" w:cs="Arial"/>
          <w:sz w:val="22"/>
          <w:lang w:eastAsia="zh-CN"/>
        </w:rPr>
        <w:t>adaptation</w:t>
      </w:r>
      <w:r>
        <w:rPr>
          <w:rFonts w:eastAsiaTheme="minorEastAsia" w:cs="Arial"/>
          <w:sz w:val="22"/>
          <w:lang w:eastAsia="zh-CN"/>
        </w:rPr>
        <w:t xml:space="preserve"> into 2 cases. For case 1, </w:t>
      </w:r>
      <w:r w:rsidRPr="00A343E8">
        <w:rPr>
          <w:rFonts w:eastAsiaTheme="minorEastAsia" w:cs="Arial"/>
          <w:sz w:val="22"/>
          <w:lang w:eastAsia="zh-CN"/>
        </w:rPr>
        <w:t xml:space="preserve">current BWP switch delay and interruption requirements for Type 1 and Type 2 UE are </w:t>
      </w:r>
      <w:r>
        <w:rPr>
          <w:rFonts w:eastAsiaTheme="minorEastAsia" w:cs="Arial"/>
          <w:sz w:val="22"/>
          <w:lang w:eastAsia="zh-CN"/>
        </w:rPr>
        <w:t xml:space="preserve">agreed to </w:t>
      </w:r>
      <w:r w:rsidR="007743B4">
        <w:rPr>
          <w:rFonts w:eastAsiaTheme="minorEastAsia" w:cs="Arial"/>
          <w:sz w:val="22"/>
          <w:lang w:eastAsia="zh-CN"/>
        </w:rPr>
        <w:t xml:space="preserve">be </w:t>
      </w:r>
      <w:r w:rsidRPr="00A343E8">
        <w:rPr>
          <w:rFonts w:eastAsiaTheme="minorEastAsia" w:cs="Arial"/>
          <w:sz w:val="22"/>
          <w:lang w:eastAsia="zh-CN"/>
        </w:rPr>
        <w:t>reuse</w:t>
      </w:r>
      <w:r w:rsidR="007743B4">
        <w:rPr>
          <w:rFonts w:eastAsiaTheme="minorEastAsia" w:cs="Arial"/>
          <w:sz w:val="22"/>
          <w:lang w:eastAsia="zh-CN"/>
        </w:rPr>
        <w:t>d</w:t>
      </w:r>
      <w:r>
        <w:rPr>
          <w:rFonts w:eastAsiaTheme="minorEastAsia" w:cs="Arial"/>
          <w:sz w:val="22"/>
          <w:lang w:eastAsia="zh-CN"/>
        </w:rPr>
        <w:t>. For case 2, i</w:t>
      </w:r>
      <w:r w:rsidRPr="009D1A11">
        <w:rPr>
          <w:rFonts w:eastAsiaTheme="minorEastAsia" w:cs="Arial"/>
          <w:sz w:val="22"/>
          <w:lang w:eastAsia="zh-CN"/>
        </w:rPr>
        <w:t xml:space="preserve">n </w:t>
      </w:r>
      <w:r>
        <w:rPr>
          <w:rFonts w:eastAsiaTheme="minorEastAsia" w:cs="Arial"/>
          <w:sz w:val="22"/>
          <w:lang w:eastAsia="zh-CN"/>
        </w:rPr>
        <w:t xml:space="preserve">RAN4 #92Bis meeting, </w:t>
      </w:r>
      <w:r w:rsidR="00C23161">
        <w:rPr>
          <w:rFonts w:eastAsiaTheme="minorEastAsia" w:cs="Arial"/>
          <w:sz w:val="22"/>
          <w:lang w:eastAsia="zh-CN"/>
        </w:rPr>
        <w:t xml:space="preserve">companies agreed </w:t>
      </w:r>
      <w:r w:rsidR="000245FD">
        <w:rPr>
          <w:rFonts w:eastAsiaTheme="minorEastAsia" w:cs="Arial"/>
          <w:sz w:val="22"/>
          <w:lang w:eastAsia="zh-CN"/>
        </w:rPr>
        <w:t xml:space="preserve">to evaluate the </w:t>
      </w:r>
      <w:r>
        <w:rPr>
          <w:rFonts w:eastAsiaTheme="minorEastAsia" w:cs="Arial"/>
          <w:sz w:val="22"/>
          <w:lang w:eastAsia="zh-CN"/>
        </w:rPr>
        <w:t xml:space="preserve">performance of </w:t>
      </w:r>
      <w:r w:rsidR="000245FD">
        <w:rPr>
          <w:rFonts w:eastAsiaTheme="minorEastAsia" w:cs="Arial"/>
          <w:sz w:val="22"/>
          <w:lang w:eastAsia="zh-CN"/>
        </w:rPr>
        <w:t xml:space="preserve">Type1 and Type2 switching delay </w:t>
      </w:r>
      <w:r>
        <w:rPr>
          <w:rFonts w:eastAsiaTheme="minorEastAsia" w:cs="Arial"/>
          <w:sz w:val="22"/>
          <w:lang w:eastAsia="zh-CN"/>
        </w:rPr>
        <w:t>based on the traffic model and RF architecture</w:t>
      </w:r>
      <w:r w:rsidR="0013617C">
        <w:rPr>
          <w:rFonts w:eastAsiaTheme="minorEastAsia" w:cs="Arial"/>
          <w:sz w:val="22"/>
          <w:lang w:eastAsia="zh-CN"/>
        </w:rPr>
        <w:t>.</w:t>
      </w:r>
      <w:r w:rsidR="0013617C">
        <w:rPr>
          <w:rFonts w:ascii="Times New Roman" w:eastAsia="SimSun" w:hAnsi="Times New Roman" w:cs="Times New Roman"/>
          <w:bCs/>
          <w:color w:val="FF0000"/>
          <w:szCs w:val="20"/>
          <w:lang w:val="en-GB" w:eastAsia="zh-TW"/>
        </w:rPr>
        <w:t xml:space="preserve"> </w:t>
      </w:r>
    </w:p>
    <w:p w14:paraId="2261DAC3" w14:textId="2D6674D3" w:rsidR="00C04745" w:rsidRDefault="00EE4A8D" w:rsidP="00B429B9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 w:hint="eastAsia"/>
          <w:sz w:val="22"/>
          <w:lang w:eastAsia="zh-TW"/>
        </w:rPr>
        <w:t>In our previous paper [</w:t>
      </w:r>
      <w:r>
        <w:rPr>
          <w:rFonts w:eastAsiaTheme="minorEastAsia" w:cs="Arial"/>
          <w:sz w:val="22"/>
          <w:lang w:eastAsia="zh-TW"/>
        </w:rPr>
        <w:t>2</w:t>
      </w:r>
      <w:r>
        <w:rPr>
          <w:rFonts w:eastAsiaTheme="minorEastAsia" w:cs="Arial" w:hint="eastAsia"/>
          <w:sz w:val="22"/>
          <w:lang w:eastAsia="zh-TW"/>
        </w:rPr>
        <w:t>],</w:t>
      </w:r>
      <w:r>
        <w:rPr>
          <w:rFonts w:eastAsiaTheme="minorEastAsia" w:cs="Arial"/>
          <w:sz w:val="22"/>
          <w:lang w:eastAsia="zh-TW"/>
        </w:rPr>
        <w:t xml:space="preserve"> we already provided some e</w:t>
      </w:r>
      <w:r w:rsidRPr="00EE4A8D">
        <w:rPr>
          <w:rFonts w:eastAsiaTheme="minorEastAsia" w:cs="Arial"/>
          <w:sz w:val="22"/>
          <w:lang w:eastAsia="zh-TW"/>
        </w:rPr>
        <w:t>valuation results</w:t>
      </w:r>
      <w:r>
        <w:rPr>
          <w:rFonts w:eastAsiaTheme="minorEastAsia" w:cs="Arial"/>
          <w:sz w:val="22"/>
          <w:lang w:eastAsia="zh-TW"/>
        </w:rPr>
        <w:t xml:space="preserve"> to compare the </w:t>
      </w:r>
      <w:r>
        <w:rPr>
          <w:rFonts w:eastAsiaTheme="minorEastAsia" w:cs="Arial"/>
          <w:sz w:val="22"/>
          <w:lang w:eastAsia="zh-CN"/>
        </w:rPr>
        <w:t>power saving gain and latency between Type 1 and Type 2 UE</w:t>
      </w:r>
      <w:r w:rsidR="00171CC8">
        <w:rPr>
          <w:rFonts w:eastAsiaTheme="minorEastAsia" w:cs="Arial"/>
          <w:sz w:val="22"/>
          <w:lang w:eastAsia="zh-CN"/>
        </w:rPr>
        <w:t xml:space="preserve"> based on the agreed traffic model FTP3 in </w:t>
      </w:r>
      <w:r w:rsidR="00171CC8" w:rsidRPr="006E3DEE">
        <w:rPr>
          <w:rFonts w:eastAsiaTheme="minorEastAsia" w:cs="Arial"/>
          <w:sz w:val="22"/>
          <w:lang w:eastAsia="zh-CN"/>
        </w:rPr>
        <w:fldChar w:fldCharType="begin"/>
      </w:r>
      <w:r w:rsidR="00171CC8" w:rsidRPr="00770F4A">
        <w:rPr>
          <w:rFonts w:eastAsiaTheme="minorEastAsia" w:cs="Arial"/>
          <w:sz w:val="22"/>
          <w:lang w:eastAsia="zh-CN"/>
        </w:rPr>
        <w:instrText xml:space="preserve"> REF _Ref23800986 \r \h </w:instrText>
      </w:r>
      <w:r w:rsidR="00171CC8" w:rsidRPr="006E3DEE">
        <w:rPr>
          <w:rFonts w:eastAsiaTheme="minorEastAsia" w:cs="Arial"/>
          <w:sz w:val="22"/>
          <w:lang w:eastAsia="zh-CN"/>
        </w:rPr>
      </w:r>
      <w:r w:rsidR="00171CC8" w:rsidRPr="006E3DEE">
        <w:rPr>
          <w:rFonts w:eastAsiaTheme="minorEastAsia" w:cs="Arial"/>
          <w:sz w:val="22"/>
          <w:lang w:eastAsia="zh-CN"/>
        </w:rPr>
        <w:fldChar w:fldCharType="separate"/>
      </w:r>
      <w:r w:rsidR="00C151DD">
        <w:rPr>
          <w:rFonts w:eastAsiaTheme="minorEastAsia" w:cs="Arial"/>
          <w:sz w:val="22"/>
          <w:lang w:eastAsia="zh-CN"/>
        </w:rPr>
        <w:t>[3]</w:t>
      </w:r>
      <w:r w:rsidR="00171CC8" w:rsidRPr="006E3DEE">
        <w:rPr>
          <w:rFonts w:eastAsiaTheme="minorEastAsia" w:cs="Arial"/>
          <w:sz w:val="22"/>
          <w:lang w:eastAsia="zh-CN"/>
        </w:rPr>
        <w:fldChar w:fldCharType="end"/>
      </w:r>
      <w:r w:rsidRPr="00770F4A">
        <w:rPr>
          <w:rFonts w:eastAsiaTheme="minorEastAsia" w:cs="Arial"/>
          <w:sz w:val="22"/>
          <w:lang w:eastAsia="zh-CN"/>
        </w:rPr>
        <w:t>.</w:t>
      </w:r>
      <w:r w:rsidR="00171CC8" w:rsidRPr="00770F4A">
        <w:rPr>
          <w:rFonts w:eastAsiaTheme="minorEastAsia" w:cs="Arial"/>
          <w:sz w:val="22"/>
          <w:lang w:eastAsia="zh-CN"/>
        </w:rPr>
        <w:t xml:space="preserve"> </w:t>
      </w:r>
      <w:r w:rsidR="00171CC8" w:rsidRPr="00DE59CD">
        <w:rPr>
          <w:rFonts w:eastAsiaTheme="minorEastAsia" w:cs="Arial"/>
          <w:sz w:val="22"/>
          <w:lang w:eastAsia="zh-CN"/>
        </w:rPr>
        <w:t xml:space="preserve">The following </w:t>
      </w:r>
      <w:r w:rsidR="00770F4A">
        <w:rPr>
          <w:rFonts w:eastAsiaTheme="minorEastAsia" w:cs="Arial"/>
          <w:sz w:val="22"/>
          <w:lang w:eastAsia="zh-CN"/>
        </w:rPr>
        <w:t>observations</w:t>
      </w:r>
      <w:r w:rsidR="00770F4A" w:rsidRPr="00DE59CD">
        <w:rPr>
          <w:rFonts w:eastAsiaTheme="minorEastAsia" w:cs="Arial"/>
          <w:sz w:val="22"/>
          <w:lang w:eastAsia="zh-CN"/>
        </w:rPr>
        <w:t xml:space="preserve"> </w:t>
      </w:r>
      <w:r w:rsidR="00171CC8" w:rsidRPr="00DE59CD">
        <w:rPr>
          <w:rFonts w:eastAsiaTheme="minorEastAsia" w:cs="Arial"/>
          <w:sz w:val="22"/>
          <w:lang w:eastAsia="zh-CN"/>
        </w:rPr>
        <w:t xml:space="preserve">are </w:t>
      </w:r>
      <w:r w:rsidR="00770F4A">
        <w:rPr>
          <w:rFonts w:eastAsiaTheme="minorEastAsia" w:cs="Arial"/>
          <w:sz w:val="22"/>
          <w:lang w:eastAsia="zh-CN"/>
        </w:rPr>
        <w:t>provided</w:t>
      </w:r>
      <w:r w:rsidR="00171CC8" w:rsidRPr="00DE59CD">
        <w:rPr>
          <w:rFonts w:eastAsiaTheme="minorEastAsia" w:cs="Arial"/>
          <w:sz w:val="22"/>
          <w:lang w:eastAsia="zh-CN"/>
        </w:rPr>
        <w:t>: 1) The latency performance for UE adopting Type 1 switching delay is better than that for UE adopting Type 2 switching delay, 2) The power saving gain for UE adopting Type 1 switching delay is better than that for UE adopting Type 2 switching delay.</w:t>
      </w:r>
      <w:r w:rsidR="00171CC8" w:rsidRPr="00770F4A">
        <w:rPr>
          <w:rFonts w:eastAsiaTheme="minorEastAsia" w:cs="Arial"/>
          <w:sz w:val="22"/>
          <w:lang w:eastAsia="zh-CN"/>
        </w:rPr>
        <w:t xml:space="preserve"> </w:t>
      </w:r>
      <w:r w:rsidR="00171CC8">
        <w:rPr>
          <w:rFonts w:eastAsiaTheme="minorEastAsia" w:cs="Arial"/>
          <w:sz w:val="22"/>
          <w:lang w:eastAsia="zh-CN"/>
        </w:rPr>
        <w:t xml:space="preserve">However, it seems that we didn’t consider the </w:t>
      </w:r>
      <w:r w:rsidR="00171CC8" w:rsidRPr="00171CC8">
        <w:rPr>
          <w:rFonts w:eastAsiaTheme="minorEastAsia" w:cs="Arial"/>
          <w:sz w:val="22"/>
          <w:lang w:eastAsia="zh-CN"/>
        </w:rPr>
        <w:t>slot-average power level</w:t>
      </w:r>
      <w:r w:rsidR="008A7B19">
        <w:rPr>
          <w:rFonts w:eastAsiaTheme="minorEastAsia" w:cs="Arial"/>
          <w:sz w:val="22"/>
          <w:lang w:eastAsia="zh-CN"/>
        </w:rPr>
        <w:t>, which is</w:t>
      </w:r>
      <w:r w:rsidR="00171CC8" w:rsidRPr="00171CC8">
        <w:rPr>
          <w:rFonts w:eastAsiaTheme="minorEastAsia" w:cs="Arial"/>
          <w:sz w:val="22"/>
          <w:lang w:eastAsia="zh-CN"/>
        </w:rPr>
        <w:t xml:space="preserve"> 50</w:t>
      </w:r>
      <w:r w:rsidR="008A7B19">
        <w:rPr>
          <w:rFonts w:eastAsiaTheme="minorEastAsia" w:cs="Arial"/>
          <w:sz w:val="22"/>
          <w:lang w:eastAsia="zh-CN"/>
        </w:rPr>
        <w:t>%</w:t>
      </w:r>
      <w:r w:rsidR="00171CC8" w:rsidRPr="00171CC8">
        <w:rPr>
          <w:rFonts w:eastAsiaTheme="minorEastAsia" w:cs="Arial"/>
          <w:sz w:val="22"/>
          <w:lang w:eastAsia="zh-CN"/>
        </w:rPr>
        <w:t xml:space="preserve"> </w:t>
      </w:r>
      <w:r w:rsidR="008A7B19">
        <w:rPr>
          <w:rFonts w:eastAsiaTheme="minorEastAsia" w:cs="Arial"/>
          <w:sz w:val="22"/>
          <w:lang w:eastAsia="zh-CN"/>
        </w:rPr>
        <w:t xml:space="preserve">of normal </w:t>
      </w:r>
      <w:r w:rsidR="00171CC8" w:rsidRPr="00171CC8">
        <w:rPr>
          <w:rFonts w:eastAsiaTheme="minorEastAsia" w:cs="Arial"/>
          <w:sz w:val="22"/>
          <w:lang w:eastAsia="zh-CN"/>
        </w:rPr>
        <w:t xml:space="preserve">power </w:t>
      </w:r>
      <w:r w:rsidR="008A7B19">
        <w:rPr>
          <w:rFonts w:eastAsiaTheme="minorEastAsia" w:cs="Arial"/>
          <w:sz w:val="22"/>
          <w:lang w:eastAsia="zh-CN"/>
        </w:rPr>
        <w:t xml:space="preserve">consumption level, </w:t>
      </w:r>
      <w:r w:rsidR="00171CC8" w:rsidRPr="00171CC8">
        <w:rPr>
          <w:rFonts w:eastAsiaTheme="minorEastAsia" w:cs="Arial"/>
          <w:sz w:val="22"/>
          <w:lang w:eastAsia="zh-CN"/>
        </w:rPr>
        <w:t xml:space="preserve">units during BWP transition </w:t>
      </w:r>
      <w:r w:rsidR="004F1F0B">
        <w:rPr>
          <w:rFonts w:eastAsiaTheme="minorEastAsia" w:cs="Arial"/>
          <w:sz w:val="22"/>
          <w:lang w:eastAsia="zh-CN"/>
        </w:rPr>
        <w:t>time</w:t>
      </w:r>
      <w:r w:rsidR="00171CC8">
        <w:rPr>
          <w:rFonts w:eastAsiaTheme="minorEastAsia" w:cs="Arial"/>
          <w:sz w:val="22"/>
          <w:lang w:eastAsia="zh-CN"/>
        </w:rPr>
        <w:t xml:space="preserve">. In this paper, we provide the modified evaluation results </w:t>
      </w:r>
      <w:r w:rsidR="00C04745">
        <w:rPr>
          <w:rFonts w:eastAsiaTheme="minorEastAsia" w:cs="Arial"/>
          <w:sz w:val="22"/>
          <w:lang w:eastAsia="zh-CN"/>
        </w:rPr>
        <w:t>and</w:t>
      </w:r>
      <w:r w:rsidR="0013617C">
        <w:rPr>
          <w:rFonts w:eastAsiaTheme="minorEastAsia" w:cs="Arial"/>
          <w:sz w:val="22"/>
          <w:lang w:eastAsia="zh-CN"/>
        </w:rPr>
        <w:t xml:space="preserve"> modified</w:t>
      </w:r>
      <w:r w:rsidR="00C04745">
        <w:rPr>
          <w:rFonts w:eastAsiaTheme="minorEastAsia" w:cs="Arial"/>
          <w:sz w:val="22"/>
          <w:lang w:eastAsia="zh-CN"/>
        </w:rPr>
        <w:t xml:space="preserve"> conclusions </w:t>
      </w:r>
      <w:r w:rsidR="00171CC8">
        <w:rPr>
          <w:rFonts w:eastAsiaTheme="minorEastAsia" w:cs="Arial"/>
          <w:sz w:val="22"/>
          <w:lang w:eastAsia="zh-CN"/>
        </w:rPr>
        <w:t xml:space="preserve">in Section 2. </w:t>
      </w:r>
      <w:r w:rsidR="00C04745">
        <w:rPr>
          <w:rFonts w:eastAsiaTheme="minorEastAsia" w:cs="Arial"/>
          <w:sz w:val="22"/>
          <w:lang w:eastAsia="zh-CN"/>
        </w:rPr>
        <w:t xml:space="preserve">Besides, in Section 3, we also provide the </w:t>
      </w:r>
      <w:r w:rsidR="00C04745">
        <w:rPr>
          <w:rFonts w:eastAsiaTheme="minorEastAsia" w:cs="Arial"/>
          <w:sz w:val="22"/>
          <w:lang w:eastAsia="zh-TW"/>
        </w:rPr>
        <w:t>e</w:t>
      </w:r>
      <w:r w:rsidR="00C04745" w:rsidRPr="00EE4A8D">
        <w:rPr>
          <w:rFonts w:eastAsiaTheme="minorEastAsia" w:cs="Arial"/>
          <w:sz w:val="22"/>
          <w:lang w:eastAsia="zh-TW"/>
        </w:rPr>
        <w:t>valuation results</w:t>
      </w:r>
      <w:r w:rsidR="00C04745">
        <w:rPr>
          <w:rFonts w:eastAsiaTheme="minorEastAsia" w:cs="Arial"/>
          <w:sz w:val="22"/>
          <w:lang w:eastAsia="zh-TW"/>
        </w:rPr>
        <w:t xml:space="preserve"> when other power saving related features are jointly considered. </w:t>
      </w:r>
      <w:r w:rsidR="00C04745">
        <w:rPr>
          <w:rFonts w:eastAsiaTheme="minorEastAsia" w:cs="Arial"/>
          <w:sz w:val="22"/>
          <w:lang w:eastAsia="zh-CN"/>
        </w:rPr>
        <w:t xml:space="preserve">A summary is provided in Section 4. The simulation assumptions are listed in Appendix. </w:t>
      </w:r>
      <w:r w:rsidR="00C04745">
        <w:rPr>
          <w:rFonts w:eastAsiaTheme="minorEastAsia" w:cs="Arial"/>
          <w:sz w:val="22"/>
          <w:lang w:eastAsia="zh-TW"/>
        </w:rPr>
        <w:t xml:space="preserve"> </w:t>
      </w:r>
      <w:r w:rsidR="00C04745">
        <w:rPr>
          <w:rFonts w:eastAsiaTheme="minorEastAsia" w:cs="Arial"/>
          <w:sz w:val="22"/>
          <w:lang w:eastAsia="zh-CN"/>
        </w:rPr>
        <w:t xml:space="preserve"> </w:t>
      </w:r>
    </w:p>
    <w:p w14:paraId="7D03C610" w14:textId="6AB52187" w:rsidR="001965A3" w:rsidRDefault="001965A3" w:rsidP="001965A3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 xml:space="preserve">Evaluation results </w:t>
      </w:r>
      <w:r w:rsidR="00391D2C">
        <w:rPr>
          <w:rFonts w:cs="Arial"/>
          <w:color w:val="000000" w:themeColor="text1"/>
        </w:rPr>
        <w:t>consider only MIMO layer adaptation</w:t>
      </w:r>
      <w:r w:rsidRPr="00E91736">
        <w:rPr>
          <w:rFonts w:cs="Arial"/>
          <w:color w:val="000000" w:themeColor="text1"/>
        </w:rPr>
        <w:t xml:space="preserve">  </w:t>
      </w:r>
    </w:p>
    <w:p w14:paraId="2FC04460" w14:textId="67E78E0F" w:rsidR="00ED0788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section, we compare the power saving gain and latency between Type 1 and Type 2 UE, using the power consumption and latency of </w:t>
      </w:r>
      <w:r w:rsidR="00321E11">
        <w:rPr>
          <w:rFonts w:eastAsiaTheme="minorEastAsia" w:cs="Arial"/>
          <w:sz w:val="22"/>
          <w:lang w:eastAsia="zh-CN"/>
        </w:rPr>
        <w:t>UE without</w:t>
      </w:r>
      <w:r>
        <w:rPr>
          <w:rFonts w:eastAsiaTheme="minorEastAsia" w:cs="Arial"/>
          <w:sz w:val="22"/>
          <w:lang w:eastAsia="zh-CN"/>
        </w:rPr>
        <w:t xml:space="preserve"> MIMO layer adaptation as the baseline. </w:t>
      </w:r>
      <w:r w:rsidR="004A7835">
        <w:rPr>
          <w:rFonts w:eastAsiaTheme="minorEastAsia" w:cs="Arial"/>
          <w:sz w:val="22"/>
          <w:lang w:eastAsia="zh-CN"/>
        </w:rPr>
        <w:t xml:space="preserve">Here, the latency is defined as the time for gNB’s higher layer to collect all ACK feedback of one packets from UE. </w:t>
      </w:r>
      <w:r>
        <w:rPr>
          <w:rFonts w:eastAsiaTheme="minorEastAsia" w:cs="Arial"/>
          <w:sz w:val="22"/>
          <w:lang w:eastAsia="zh-CN"/>
        </w:rPr>
        <w:t>For each cases, the resource u</w:t>
      </w:r>
      <w:r w:rsidRPr="00ED0788">
        <w:rPr>
          <w:rFonts w:eastAsiaTheme="minorEastAsia" w:cs="Arial"/>
          <w:sz w:val="22"/>
          <w:lang w:eastAsia="zh-CN"/>
        </w:rPr>
        <w:t>tilization</w:t>
      </w:r>
      <w:r>
        <w:rPr>
          <w:rFonts w:eastAsiaTheme="minorEastAsia" w:cs="Arial"/>
          <w:sz w:val="22"/>
          <w:lang w:eastAsia="zh-CN"/>
        </w:rPr>
        <w:t xml:space="preserve"> (</w:t>
      </w:r>
      <w:r>
        <w:rPr>
          <w:rFonts w:eastAsiaTheme="minorEastAsia" w:cs="Arial" w:hint="eastAsia"/>
          <w:sz w:val="22"/>
          <w:lang w:eastAsia="zh-TW"/>
        </w:rPr>
        <w:t>RU</w:t>
      </w:r>
      <w:r>
        <w:rPr>
          <w:rFonts w:eastAsiaTheme="minorEastAsia" w:cs="Arial"/>
          <w:sz w:val="22"/>
          <w:lang w:eastAsia="zh-CN"/>
        </w:rPr>
        <w:t xml:space="preserve">) rates are also shown to indicate the </w:t>
      </w:r>
      <w:r>
        <w:rPr>
          <w:rFonts w:eastAsiaTheme="minorEastAsia" w:cs="Arial"/>
          <w:sz w:val="22"/>
          <w:lang w:eastAsia="zh-CN"/>
        </w:rPr>
        <w:lastRenderedPageBreak/>
        <w:t>average number of scheduled PRB</w:t>
      </w:r>
      <w:r w:rsidR="00321E11">
        <w:rPr>
          <w:rFonts w:eastAsiaTheme="minorEastAsia" w:cs="Arial"/>
          <w:sz w:val="22"/>
          <w:lang w:eastAsia="zh-CN"/>
        </w:rPr>
        <w:t>s</w:t>
      </w:r>
      <w:r>
        <w:rPr>
          <w:rFonts w:eastAsiaTheme="minorEastAsia" w:cs="Arial"/>
          <w:sz w:val="22"/>
          <w:lang w:eastAsia="zh-CN"/>
        </w:rPr>
        <w:t xml:space="preserve"> over the number of total PRB</w:t>
      </w:r>
      <w:r w:rsidR="00321E11">
        <w:rPr>
          <w:rFonts w:eastAsiaTheme="minorEastAsia" w:cs="Arial"/>
          <w:sz w:val="22"/>
          <w:lang w:eastAsia="zh-CN"/>
        </w:rPr>
        <w:t>s</w:t>
      </w:r>
      <w:r>
        <w:rPr>
          <w:rFonts w:eastAsiaTheme="minorEastAsia" w:cs="Arial"/>
          <w:sz w:val="22"/>
          <w:lang w:eastAsia="zh-CN"/>
        </w:rPr>
        <w:t xml:space="preserve"> in each slot. In our evaluations, the p</w:t>
      </w:r>
      <w:r w:rsidRPr="00ED0788">
        <w:rPr>
          <w:rFonts w:eastAsiaTheme="minorEastAsia" w:cs="Arial"/>
          <w:sz w:val="22"/>
          <w:lang w:eastAsia="zh-CN"/>
        </w:rPr>
        <w:t>acket size</w:t>
      </w:r>
      <w:r>
        <w:rPr>
          <w:rFonts w:eastAsiaTheme="minorEastAsia" w:cs="Arial"/>
          <w:sz w:val="22"/>
          <w:lang w:eastAsia="zh-CN"/>
        </w:rPr>
        <w:t xml:space="preserve"> and arrival rate are varied with the DRX cycle length. Besides, the fixed data rate 20Mbps is assumed. The notations and units of DRX configurations and p</w:t>
      </w:r>
      <w:r w:rsidRPr="00ED0788">
        <w:rPr>
          <w:rFonts w:eastAsiaTheme="minorEastAsia" w:cs="Arial"/>
          <w:sz w:val="22"/>
          <w:lang w:eastAsia="zh-CN"/>
        </w:rPr>
        <w:t>acket size</w:t>
      </w:r>
      <w:r>
        <w:rPr>
          <w:rFonts w:eastAsiaTheme="minorEastAsia" w:cs="Arial"/>
          <w:sz w:val="22"/>
          <w:lang w:eastAsia="zh-CN"/>
        </w:rPr>
        <w:t xml:space="preserve"> are shown as follows:</w:t>
      </w:r>
    </w:p>
    <w:p w14:paraId="56874E1F" w14:textId="279A7F13" w:rsidR="00ED0788" w:rsidRDefault="00ED0788" w:rsidP="00ED0788">
      <w:pPr>
        <w:pStyle w:val="Doc-text2"/>
        <w:numPr>
          <w:ilvl w:val="0"/>
          <w:numId w:val="93"/>
        </w:numPr>
        <w:tabs>
          <w:tab w:val="left" w:pos="340"/>
        </w:tabs>
        <w:spacing w:before="120" w:after="120"/>
        <w:jc w:val="both"/>
        <w:rPr>
          <w:rFonts w:eastAsiaTheme="minorEastAsia" w:cs="Arial"/>
          <w:sz w:val="22"/>
          <w:lang w:eastAsia="zh-CN"/>
        </w:rPr>
      </w:pPr>
      <w:r w:rsidRPr="00ED0788">
        <w:rPr>
          <w:rFonts w:eastAsiaTheme="minorEastAsia" w:cs="Arial"/>
          <w:sz w:val="22"/>
          <w:lang w:eastAsia="zh-CN"/>
        </w:rPr>
        <w:t>DRX (cycle length, on-duration length, inactivity timer length)</w:t>
      </w:r>
      <w:r>
        <w:rPr>
          <w:rFonts w:eastAsiaTheme="minorEastAsia" w:cs="Arial"/>
          <w:sz w:val="22"/>
          <w:lang w:eastAsia="zh-CN"/>
        </w:rPr>
        <w:t xml:space="preserve"> [ms]</w:t>
      </w:r>
    </w:p>
    <w:p w14:paraId="6D09B85E" w14:textId="19B98F86" w:rsidR="00ED0788" w:rsidRDefault="00ED0788" w:rsidP="00ED0788">
      <w:pPr>
        <w:pStyle w:val="Doc-text2"/>
        <w:numPr>
          <w:ilvl w:val="0"/>
          <w:numId w:val="93"/>
        </w:numPr>
        <w:tabs>
          <w:tab w:val="left" w:pos="340"/>
        </w:tabs>
        <w:spacing w:before="120" w:after="12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Pkt [MBytes]</w:t>
      </w:r>
    </w:p>
    <w:p w14:paraId="20BBE12C" w14:textId="5D4FD20D" w:rsidR="00B0627C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FR1, assuming that only 1 CC is in use, the evaluation results of 15kHz and 30kHz SCSs are shown in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_Ref23783377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151DD" w:rsidRPr="00C151DD">
        <w:rPr>
          <w:rFonts w:eastAsiaTheme="minorEastAsia" w:cs="Arial"/>
          <w:sz w:val="22"/>
          <w:lang w:eastAsia="zh-CN"/>
        </w:rPr>
        <w:t>Table 1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_Ref23783385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151DD" w:rsidRPr="00C151DD">
        <w:rPr>
          <w:rFonts w:eastAsiaTheme="minorEastAsia" w:cs="Arial"/>
          <w:sz w:val="22"/>
          <w:lang w:eastAsia="zh-CN"/>
        </w:rPr>
        <w:t>Table 2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>, respectively</w:t>
      </w:r>
      <w:r w:rsidR="001965A3">
        <w:rPr>
          <w:rFonts w:eastAsiaTheme="minorEastAsia" w:cs="Arial"/>
          <w:sz w:val="22"/>
          <w:lang w:eastAsia="zh-CN"/>
        </w:rPr>
        <w:t xml:space="preserve">. </w:t>
      </w:r>
    </w:p>
    <w:p w14:paraId="51B45FEE" w14:textId="452558A2" w:rsidR="00ED0788" w:rsidRDefault="00ED0788" w:rsidP="00ED0788">
      <w:pPr>
        <w:pStyle w:val="Caption"/>
        <w:jc w:val="center"/>
        <w:rPr>
          <w:rFonts w:ascii="Arial" w:hAnsi="Arial" w:cs="Arial"/>
        </w:rPr>
      </w:pPr>
      <w:bookmarkStart w:id="7" w:name="_Ref23783377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1</w:t>
      </w:r>
      <w:r w:rsidRPr="00ED0788">
        <w:rPr>
          <w:rFonts w:ascii="Arial" w:hAnsi="Arial" w:cs="Arial"/>
        </w:rPr>
        <w:fldChar w:fldCharType="end"/>
      </w:r>
      <w:bookmarkEnd w:id="7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 w:rsidR="00C65808"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15kHz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10"/>
        <w:gridCol w:w="1365"/>
        <w:gridCol w:w="970"/>
        <w:gridCol w:w="1157"/>
        <w:gridCol w:w="947"/>
        <w:gridCol w:w="1134"/>
        <w:gridCol w:w="1389"/>
        <w:gridCol w:w="1157"/>
      </w:tblGrid>
      <w:tr w:rsidR="00ED0788" w14:paraId="7B8669DE" w14:textId="77777777" w:rsidTr="0013617C">
        <w:trPr>
          <w:trHeight w:val="20"/>
        </w:trPr>
        <w:tc>
          <w:tcPr>
            <w:tcW w:w="2875" w:type="dxa"/>
            <w:gridSpan w:val="2"/>
            <w:vAlign w:val="center"/>
          </w:tcPr>
          <w:p w14:paraId="3781E7DB" w14:textId="77777777" w:rsidR="002F7701" w:rsidRPr="0013617C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13617C">
              <w:rPr>
                <w:b/>
                <w:sz w:val="20"/>
                <w:szCs w:val="20"/>
              </w:rPr>
              <w:t># of UEs/Cell = 10,</w:t>
            </w:r>
          </w:p>
          <w:p w14:paraId="0DA89CC5" w14:textId="77777777" w:rsidR="002F7701" w:rsidRPr="0013617C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13617C">
              <w:rPr>
                <w:b/>
                <w:sz w:val="20"/>
                <w:szCs w:val="20"/>
              </w:rPr>
              <w:t>BWP timer = 3ms</w:t>
            </w:r>
          </w:p>
          <w:p w14:paraId="2B5AA3EE" w14:textId="1892EDBD" w:rsidR="00ED0788" w:rsidRDefault="002F7701" w:rsidP="0013617C">
            <w:pPr>
              <w:spacing w:after="0"/>
            </w:pPr>
            <w:r w:rsidRPr="0013617C">
              <w:rPr>
                <w:b/>
                <w:sz w:val="20"/>
                <w:szCs w:val="20"/>
              </w:rPr>
              <w:t>Type-1: 1 slots, Type-2: 3 slots</w:t>
            </w:r>
          </w:p>
        </w:tc>
        <w:tc>
          <w:tcPr>
            <w:tcW w:w="970" w:type="dxa"/>
            <w:vAlign w:val="center"/>
          </w:tcPr>
          <w:p w14:paraId="4F4FBEBF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415584B2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08D07C4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413D756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389" w:type="dxa"/>
            <w:vAlign w:val="center"/>
          </w:tcPr>
          <w:p w14:paraId="6DCEE688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57" w:type="dxa"/>
            <w:vAlign w:val="center"/>
          </w:tcPr>
          <w:p w14:paraId="356EECFD" w14:textId="77777777" w:rsidR="00ED0788" w:rsidRPr="00ED0788" w:rsidRDefault="00ED0788" w:rsidP="004A7835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8E6BEC" w14:paraId="1263949C" w14:textId="77777777" w:rsidTr="0013617C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6E98602F" w14:textId="02FB8E78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365" w:type="dxa"/>
            <w:vAlign w:val="center"/>
          </w:tcPr>
          <w:p w14:paraId="66AED2B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5BD5FEF5" w14:textId="2B29F3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27.78</w:t>
            </w:r>
          </w:p>
        </w:tc>
        <w:tc>
          <w:tcPr>
            <w:tcW w:w="1157" w:type="dxa"/>
            <w:vAlign w:val="center"/>
          </w:tcPr>
          <w:p w14:paraId="3BA2E65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36BF35E" w14:textId="0373D3B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67.76</w:t>
            </w:r>
          </w:p>
        </w:tc>
        <w:tc>
          <w:tcPr>
            <w:tcW w:w="1134" w:type="dxa"/>
            <w:vAlign w:val="center"/>
          </w:tcPr>
          <w:p w14:paraId="0F6453D7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6F107CB" w14:textId="0D8DA26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44.92</w:t>
            </w:r>
          </w:p>
        </w:tc>
        <w:tc>
          <w:tcPr>
            <w:tcW w:w="1157" w:type="dxa"/>
            <w:vAlign w:val="center"/>
          </w:tcPr>
          <w:p w14:paraId="37C4C26D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0828433" w14:textId="77777777" w:rsidTr="0013617C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1148E351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445483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60EFF26B" w14:textId="0D9BB5C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27.82</w:t>
            </w:r>
          </w:p>
        </w:tc>
        <w:tc>
          <w:tcPr>
            <w:tcW w:w="1157" w:type="dxa"/>
            <w:vAlign w:val="center"/>
          </w:tcPr>
          <w:p w14:paraId="7033D28D" w14:textId="2999C99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0.14%</w:t>
            </w:r>
          </w:p>
        </w:tc>
        <w:tc>
          <w:tcPr>
            <w:tcW w:w="947" w:type="dxa"/>
            <w:vAlign w:val="center"/>
          </w:tcPr>
          <w:p w14:paraId="0F2169B4" w14:textId="0BD7A37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67.99</w:t>
            </w:r>
          </w:p>
        </w:tc>
        <w:tc>
          <w:tcPr>
            <w:tcW w:w="1134" w:type="dxa"/>
            <w:vAlign w:val="center"/>
          </w:tcPr>
          <w:p w14:paraId="0FE0E93F" w14:textId="6AA5C3A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0.34%</w:t>
            </w:r>
          </w:p>
        </w:tc>
        <w:tc>
          <w:tcPr>
            <w:tcW w:w="1389" w:type="dxa"/>
            <w:vAlign w:val="center"/>
          </w:tcPr>
          <w:p w14:paraId="4260DAF9" w14:textId="1C4E19F2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36.70</w:t>
            </w:r>
          </w:p>
        </w:tc>
        <w:tc>
          <w:tcPr>
            <w:tcW w:w="1157" w:type="dxa"/>
            <w:vAlign w:val="center"/>
          </w:tcPr>
          <w:p w14:paraId="18BD4811" w14:textId="7B462929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18.30%</w:t>
            </w:r>
          </w:p>
        </w:tc>
      </w:tr>
      <w:tr w:rsidR="008E6BEC" w14:paraId="3EB4B53B" w14:textId="77777777" w:rsidTr="0013617C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1A167212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A22D25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54EC171D" w14:textId="5895781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27.49</w:t>
            </w:r>
          </w:p>
        </w:tc>
        <w:tc>
          <w:tcPr>
            <w:tcW w:w="1157" w:type="dxa"/>
            <w:vAlign w:val="center"/>
          </w:tcPr>
          <w:p w14:paraId="003FA6A1" w14:textId="792D6F0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-1.04%</w:t>
            </w:r>
          </w:p>
        </w:tc>
        <w:tc>
          <w:tcPr>
            <w:tcW w:w="947" w:type="dxa"/>
            <w:vAlign w:val="center"/>
          </w:tcPr>
          <w:p w14:paraId="24E821F7" w14:textId="5F09943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70.64</w:t>
            </w:r>
          </w:p>
        </w:tc>
        <w:tc>
          <w:tcPr>
            <w:tcW w:w="1134" w:type="dxa"/>
            <w:vAlign w:val="center"/>
          </w:tcPr>
          <w:p w14:paraId="786BD267" w14:textId="0D87199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4.25%</w:t>
            </w:r>
          </w:p>
        </w:tc>
        <w:tc>
          <w:tcPr>
            <w:tcW w:w="1389" w:type="dxa"/>
            <w:vAlign w:val="center"/>
          </w:tcPr>
          <w:p w14:paraId="5B73A131" w14:textId="4DA5F857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36.37</w:t>
            </w:r>
          </w:p>
        </w:tc>
        <w:tc>
          <w:tcPr>
            <w:tcW w:w="1157" w:type="dxa"/>
            <w:vAlign w:val="center"/>
          </w:tcPr>
          <w:p w14:paraId="7DFBC4AA" w14:textId="7334F18D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19.03%</w:t>
            </w:r>
          </w:p>
        </w:tc>
      </w:tr>
      <w:tr w:rsidR="008E6BEC" w14:paraId="61FBCFE8" w14:textId="77777777" w:rsidTr="0013617C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35995B7F" w14:textId="05CC669A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5757E06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61493512" w14:textId="5EFA892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27.72</w:t>
            </w:r>
          </w:p>
        </w:tc>
        <w:tc>
          <w:tcPr>
            <w:tcW w:w="1157" w:type="dxa"/>
            <w:vAlign w:val="center"/>
          </w:tcPr>
          <w:p w14:paraId="5085E95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C5503AC" w14:textId="4C6BA6B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33.12</w:t>
            </w:r>
          </w:p>
        </w:tc>
        <w:tc>
          <w:tcPr>
            <w:tcW w:w="1134" w:type="dxa"/>
            <w:vAlign w:val="center"/>
          </w:tcPr>
          <w:p w14:paraId="247AB44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261E221" w14:textId="58E740E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49.68</w:t>
            </w:r>
          </w:p>
        </w:tc>
        <w:tc>
          <w:tcPr>
            <w:tcW w:w="1157" w:type="dxa"/>
            <w:vAlign w:val="center"/>
          </w:tcPr>
          <w:p w14:paraId="502CCE8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FB4A9E1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1463E05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6A1E9AE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1C8E9905" w14:textId="3AB28F6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27.91</w:t>
            </w:r>
          </w:p>
        </w:tc>
        <w:tc>
          <w:tcPr>
            <w:tcW w:w="1157" w:type="dxa"/>
            <w:vAlign w:val="center"/>
          </w:tcPr>
          <w:p w14:paraId="2591225E" w14:textId="6F342AF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0.69%</w:t>
            </w:r>
          </w:p>
        </w:tc>
        <w:tc>
          <w:tcPr>
            <w:tcW w:w="947" w:type="dxa"/>
            <w:vAlign w:val="center"/>
          </w:tcPr>
          <w:p w14:paraId="4BE049EA" w14:textId="3F607F8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33.81</w:t>
            </w:r>
          </w:p>
        </w:tc>
        <w:tc>
          <w:tcPr>
            <w:tcW w:w="1134" w:type="dxa"/>
            <w:vAlign w:val="center"/>
          </w:tcPr>
          <w:p w14:paraId="768060B5" w14:textId="74090A0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2.08%</w:t>
            </w:r>
          </w:p>
        </w:tc>
        <w:tc>
          <w:tcPr>
            <w:tcW w:w="1389" w:type="dxa"/>
            <w:vAlign w:val="center"/>
          </w:tcPr>
          <w:p w14:paraId="360B03A1" w14:textId="5123A728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41.44</w:t>
            </w:r>
          </w:p>
        </w:tc>
        <w:tc>
          <w:tcPr>
            <w:tcW w:w="1157" w:type="dxa"/>
            <w:vAlign w:val="center"/>
          </w:tcPr>
          <w:p w14:paraId="5F970556" w14:textId="5FD089F6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16.59%</w:t>
            </w:r>
          </w:p>
        </w:tc>
      </w:tr>
      <w:tr w:rsidR="008E6BEC" w14:paraId="4158AFA2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10E5FD53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23411CC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029BA53E" w14:textId="12DFE6A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27.74</w:t>
            </w:r>
          </w:p>
        </w:tc>
        <w:tc>
          <w:tcPr>
            <w:tcW w:w="1157" w:type="dxa"/>
            <w:vAlign w:val="center"/>
          </w:tcPr>
          <w:p w14:paraId="281EDEBE" w14:textId="32A0D22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0.07%</w:t>
            </w:r>
          </w:p>
        </w:tc>
        <w:tc>
          <w:tcPr>
            <w:tcW w:w="947" w:type="dxa"/>
            <w:vAlign w:val="center"/>
          </w:tcPr>
          <w:p w14:paraId="4353E0BD" w14:textId="5EAB56E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35.60</w:t>
            </w:r>
          </w:p>
        </w:tc>
        <w:tc>
          <w:tcPr>
            <w:tcW w:w="1134" w:type="dxa"/>
            <w:vAlign w:val="center"/>
          </w:tcPr>
          <w:p w14:paraId="03E1889B" w14:textId="6E316D8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7.49%</w:t>
            </w:r>
          </w:p>
        </w:tc>
        <w:tc>
          <w:tcPr>
            <w:tcW w:w="1389" w:type="dxa"/>
            <w:vAlign w:val="center"/>
          </w:tcPr>
          <w:p w14:paraId="7E4262E5" w14:textId="5E4999CD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40.99</w:t>
            </w:r>
          </w:p>
        </w:tc>
        <w:tc>
          <w:tcPr>
            <w:tcW w:w="1157" w:type="dxa"/>
            <w:vAlign w:val="center"/>
          </w:tcPr>
          <w:p w14:paraId="53D8DB0F" w14:textId="489E3BD8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17.49%</w:t>
            </w:r>
          </w:p>
        </w:tc>
      </w:tr>
      <w:tr w:rsidR="008E6BEC" w14:paraId="33C8F3AD" w14:textId="77777777" w:rsidTr="0013617C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0256A3E3" w14:textId="5805282D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50D9DA4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509708EB" w14:textId="4EB314B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27.57</w:t>
            </w:r>
          </w:p>
        </w:tc>
        <w:tc>
          <w:tcPr>
            <w:tcW w:w="1157" w:type="dxa"/>
            <w:vAlign w:val="center"/>
          </w:tcPr>
          <w:p w14:paraId="4D3E0247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EEA2EA4" w14:textId="472F740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15.84</w:t>
            </w:r>
          </w:p>
        </w:tc>
        <w:tc>
          <w:tcPr>
            <w:tcW w:w="1134" w:type="dxa"/>
            <w:vAlign w:val="center"/>
          </w:tcPr>
          <w:p w14:paraId="590C230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1A93231" w14:textId="0282CA19" w:rsidR="008E6BEC" w:rsidRPr="00ED0788" w:rsidRDefault="008E6BEC" w:rsidP="004A7835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58.58</w:t>
            </w:r>
          </w:p>
        </w:tc>
        <w:tc>
          <w:tcPr>
            <w:tcW w:w="1157" w:type="dxa"/>
            <w:vAlign w:val="center"/>
          </w:tcPr>
          <w:p w14:paraId="12F7496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42E4BBC3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3F39113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B560489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7DF8ACEB" w14:textId="6E8FD23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27.64</w:t>
            </w:r>
          </w:p>
        </w:tc>
        <w:tc>
          <w:tcPr>
            <w:tcW w:w="1157" w:type="dxa"/>
            <w:vAlign w:val="center"/>
          </w:tcPr>
          <w:p w14:paraId="480EB991" w14:textId="1E8127A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0.25%</w:t>
            </w:r>
          </w:p>
        </w:tc>
        <w:tc>
          <w:tcPr>
            <w:tcW w:w="947" w:type="dxa"/>
            <w:vAlign w:val="center"/>
          </w:tcPr>
          <w:p w14:paraId="77F1D5CD" w14:textId="5BDA488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16.23</w:t>
            </w:r>
          </w:p>
        </w:tc>
        <w:tc>
          <w:tcPr>
            <w:tcW w:w="1134" w:type="dxa"/>
            <w:vAlign w:val="center"/>
          </w:tcPr>
          <w:p w14:paraId="13A4096B" w14:textId="601DDC6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2.46%</w:t>
            </w:r>
          </w:p>
        </w:tc>
        <w:tc>
          <w:tcPr>
            <w:tcW w:w="1389" w:type="dxa"/>
            <w:vAlign w:val="center"/>
          </w:tcPr>
          <w:p w14:paraId="170A0FBC" w14:textId="796A964C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49.68</w:t>
            </w:r>
          </w:p>
        </w:tc>
        <w:tc>
          <w:tcPr>
            <w:tcW w:w="1157" w:type="dxa"/>
            <w:vAlign w:val="center"/>
          </w:tcPr>
          <w:p w14:paraId="780A6C2C" w14:textId="0914D0BB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15.19%</w:t>
            </w:r>
          </w:p>
        </w:tc>
      </w:tr>
      <w:tr w:rsidR="008E6BEC" w14:paraId="19A94322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5C03F158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1E4E9E14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49132854" w14:textId="423CFBD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27.66</w:t>
            </w:r>
          </w:p>
        </w:tc>
        <w:tc>
          <w:tcPr>
            <w:tcW w:w="1157" w:type="dxa"/>
            <w:vAlign w:val="center"/>
          </w:tcPr>
          <w:p w14:paraId="7EFEE7CB" w14:textId="3896C98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140F4951" w14:textId="0BBE89D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17.79</w:t>
            </w:r>
          </w:p>
        </w:tc>
        <w:tc>
          <w:tcPr>
            <w:tcW w:w="1134" w:type="dxa"/>
            <w:vAlign w:val="center"/>
          </w:tcPr>
          <w:p w14:paraId="297C5190" w14:textId="27BA439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12.31%</w:t>
            </w:r>
          </w:p>
        </w:tc>
        <w:tc>
          <w:tcPr>
            <w:tcW w:w="1389" w:type="dxa"/>
            <w:vAlign w:val="center"/>
          </w:tcPr>
          <w:p w14:paraId="2151D070" w14:textId="7E9857CB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48.74</w:t>
            </w:r>
          </w:p>
        </w:tc>
        <w:tc>
          <w:tcPr>
            <w:tcW w:w="1157" w:type="dxa"/>
            <w:vAlign w:val="center"/>
          </w:tcPr>
          <w:p w14:paraId="5AB62B55" w14:textId="356CF9FD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16.58%</w:t>
            </w:r>
          </w:p>
        </w:tc>
      </w:tr>
      <w:tr w:rsidR="008E6BEC" w14:paraId="513AC8C4" w14:textId="77777777" w:rsidTr="0013617C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0D812E5F" w14:textId="1EC0A74E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2FDC9CC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3D771C7D" w14:textId="3EDA3F7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27.08</w:t>
            </w:r>
          </w:p>
        </w:tc>
        <w:tc>
          <w:tcPr>
            <w:tcW w:w="1157" w:type="dxa"/>
            <w:vAlign w:val="center"/>
          </w:tcPr>
          <w:p w14:paraId="1D8CC8F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D06989A" w14:textId="55C2597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134" w:type="dxa"/>
            <w:vAlign w:val="center"/>
          </w:tcPr>
          <w:p w14:paraId="411922DD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7C5B46BB" w14:textId="1BEE961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73.11</w:t>
            </w:r>
          </w:p>
        </w:tc>
        <w:tc>
          <w:tcPr>
            <w:tcW w:w="1157" w:type="dxa"/>
            <w:vAlign w:val="center"/>
          </w:tcPr>
          <w:p w14:paraId="54B57AF4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7753CC97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5734F72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25FA2E8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09D76343" w14:textId="2B003610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27.06</w:t>
            </w:r>
          </w:p>
        </w:tc>
        <w:tc>
          <w:tcPr>
            <w:tcW w:w="1157" w:type="dxa"/>
            <w:vAlign w:val="center"/>
          </w:tcPr>
          <w:p w14:paraId="2707A4A2" w14:textId="4226D18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-0.07%</w:t>
            </w:r>
          </w:p>
        </w:tc>
        <w:tc>
          <w:tcPr>
            <w:tcW w:w="947" w:type="dxa"/>
            <w:vAlign w:val="center"/>
          </w:tcPr>
          <w:p w14:paraId="6B43A388" w14:textId="6640764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8.55</w:t>
            </w:r>
          </w:p>
        </w:tc>
        <w:tc>
          <w:tcPr>
            <w:tcW w:w="1134" w:type="dxa"/>
            <w:vAlign w:val="center"/>
          </w:tcPr>
          <w:p w14:paraId="1CE57997" w14:textId="5206DDB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3.01%</w:t>
            </w:r>
          </w:p>
        </w:tc>
        <w:tc>
          <w:tcPr>
            <w:tcW w:w="1389" w:type="dxa"/>
            <w:vAlign w:val="center"/>
          </w:tcPr>
          <w:p w14:paraId="2A765FF6" w14:textId="30BF2079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62.92</w:t>
            </w:r>
          </w:p>
        </w:tc>
        <w:tc>
          <w:tcPr>
            <w:tcW w:w="1157" w:type="dxa"/>
            <w:vAlign w:val="center"/>
          </w:tcPr>
          <w:p w14:paraId="1A4C2C7F" w14:textId="2F4D9953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13.94%</w:t>
            </w:r>
          </w:p>
        </w:tc>
      </w:tr>
      <w:tr w:rsidR="008E6BEC" w14:paraId="7A2AEAE6" w14:textId="77777777" w:rsidTr="0013617C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64DCAF7E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14571A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6026F22E" w14:textId="63E975D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27.22</w:t>
            </w:r>
          </w:p>
        </w:tc>
        <w:tc>
          <w:tcPr>
            <w:tcW w:w="1157" w:type="dxa"/>
            <w:vAlign w:val="center"/>
          </w:tcPr>
          <w:p w14:paraId="5125C3F9" w14:textId="0E5AA4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0.52%</w:t>
            </w:r>
          </w:p>
        </w:tc>
        <w:tc>
          <w:tcPr>
            <w:tcW w:w="947" w:type="dxa"/>
            <w:vAlign w:val="center"/>
          </w:tcPr>
          <w:p w14:paraId="30DC1707" w14:textId="4661E17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10.11</w:t>
            </w:r>
          </w:p>
        </w:tc>
        <w:tc>
          <w:tcPr>
            <w:tcW w:w="1134" w:type="dxa"/>
            <w:vAlign w:val="center"/>
          </w:tcPr>
          <w:p w14:paraId="066C2CC8" w14:textId="3412F7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21.81%</w:t>
            </w:r>
          </w:p>
        </w:tc>
        <w:tc>
          <w:tcPr>
            <w:tcW w:w="1389" w:type="dxa"/>
            <w:vAlign w:val="center"/>
          </w:tcPr>
          <w:p w14:paraId="7EFEA1D6" w14:textId="4EFFD70C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61.26</w:t>
            </w:r>
          </w:p>
        </w:tc>
        <w:tc>
          <w:tcPr>
            <w:tcW w:w="1157" w:type="dxa"/>
            <w:vAlign w:val="center"/>
          </w:tcPr>
          <w:p w14:paraId="09937CE4" w14:textId="47E9D5A7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16.21%</w:t>
            </w:r>
          </w:p>
        </w:tc>
      </w:tr>
    </w:tbl>
    <w:p w14:paraId="0BB1C14E" w14:textId="77777777" w:rsidR="00ED0788" w:rsidRDefault="00ED0788" w:rsidP="00ED0788"/>
    <w:p w14:paraId="77DB661D" w14:textId="44C62055" w:rsidR="00ED0788" w:rsidRPr="00ED0788" w:rsidRDefault="00ED0788" w:rsidP="00ED0788">
      <w:pPr>
        <w:pStyle w:val="Caption"/>
        <w:jc w:val="center"/>
      </w:pPr>
      <w:bookmarkStart w:id="8" w:name="_Ref23783385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2</w:t>
      </w:r>
      <w:r w:rsidRPr="00ED0788">
        <w:rPr>
          <w:rFonts w:ascii="Arial" w:hAnsi="Arial" w:cs="Arial"/>
        </w:rPr>
        <w:fldChar w:fldCharType="end"/>
      </w:r>
      <w:bookmarkEnd w:id="8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</w:t>
      </w:r>
      <w:r>
        <w:rPr>
          <w:rFonts w:ascii="Arial" w:hAnsi="Arial" w:cs="Arial"/>
        </w:rPr>
        <w:t>or Type 1 and Type 2 UE</w:t>
      </w:r>
      <w:r w:rsidR="00C6580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SCS 30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320"/>
        <w:gridCol w:w="970"/>
        <w:gridCol w:w="1157"/>
        <w:gridCol w:w="947"/>
        <w:gridCol w:w="1134"/>
        <w:gridCol w:w="1417"/>
        <w:gridCol w:w="1129"/>
      </w:tblGrid>
      <w:tr w:rsidR="00ED0788" w14:paraId="6BCC81C1" w14:textId="77777777" w:rsidTr="0013617C">
        <w:trPr>
          <w:trHeight w:val="1065"/>
        </w:trPr>
        <w:tc>
          <w:tcPr>
            <w:tcW w:w="2875" w:type="dxa"/>
            <w:gridSpan w:val="2"/>
            <w:vAlign w:val="center"/>
          </w:tcPr>
          <w:p w14:paraId="12B0FC8D" w14:textId="77777777" w:rsidR="002F7701" w:rsidRPr="00BD00D8" w:rsidRDefault="002F7701" w:rsidP="00B429B9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# of UEs/Cell = 10,</w:t>
            </w:r>
          </w:p>
          <w:p w14:paraId="2AD56E7D" w14:textId="77777777" w:rsidR="002F7701" w:rsidRPr="00BD00D8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BWP timer = 3ms</w:t>
            </w:r>
          </w:p>
          <w:p w14:paraId="36E96AEF" w14:textId="56469C67" w:rsidR="00ED0788" w:rsidRDefault="002F7701" w:rsidP="0013617C">
            <w:pPr>
              <w:spacing w:after="0"/>
            </w:pPr>
            <w:r>
              <w:rPr>
                <w:b/>
                <w:sz w:val="20"/>
                <w:szCs w:val="20"/>
              </w:rPr>
              <w:t>Type-1: 1 slots, Type-2: 5</w:t>
            </w:r>
            <w:r w:rsidRPr="00BD00D8">
              <w:rPr>
                <w:b/>
                <w:sz w:val="20"/>
                <w:szCs w:val="20"/>
              </w:rPr>
              <w:t xml:space="preserve"> slots</w:t>
            </w:r>
          </w:p>
        </w:tc>
        <w:tc>
          <w:tcPr>
            <w:tcW w:w="970" w:type="dxa"/>
            <w:vAlign w:val="center"/>
          </w:tcPr>
          <w:p w14:paraId="33B82B2A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3B5CCA04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71BEDA89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41D2A6DE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17" w:type="dxa"/>
            <w:vAlign w:val="center"/>
          </w:tcPr>
          <w:p w14:paraId="4958581B" w14:textId="77777777" w:rsidR="00ED0788" w:rsidRPr="00ED0788" w:rsidRDefault="00ED0788" w:rsidP="004A7835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29" w:type="dxa"/>
            <w:vAlign w:val="center"/>
          </w:tcPr>
          <w:p w14:paraId="5D38EC42" w14:textId="77777777" w:rsidR="00ED0788" w:rsidRPr="00ED0788" w:rsidRDefault="00ED0788" w:rsidP="004A7835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8E6BEC" w14:paraId="3407921F" w14:textId="77777777" w:rsidTr="0013617C">
        <w:tc>
          <w:tcPr>
            <w:tcW w:w="1555" w:type="dxa"/>
            <w:vMerge w:val="restart"/>
            <w:vAlign w:val="center"/>
          </w:tcPr>
          <w:p w14:paraId="1F9ACAE4" w14:textId="7F2D8741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320" w:type="dxa"/>
            <w:vAlign w:val="center"/>
          </w:tcPr>
          <w:p w14:paraId="10665763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41331A2D" w14:textId="66E7300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29.47</w:t>
            </w:r>
          </w:p>
        </w:tc>
        <w:tc>
          <w:tcPr>
            <w:tcW w:w="1157" w:type="dxa"/>
            <w:vAlign w:val="center"/>
          </w:tcPr>
          <w:p w14:paraId="6080067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A83EB94" w14:textId="4F422E3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63.59</w:t>
            </w:r>
          </w:p>
        </w:tc>
        <w:tc>
          <w:tcPr>
            <w:tcW w:w="1134" w:type="dxa"/>
            <w:vAlign w:val="center"/>
          </w:tcPr>
          <w:p w14:paraId="21F14E0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14B4466" w14:textId="5F99FE0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45.29</w:t>
            </w:r>
          </w:p>
        </w:tc>
        <w:tc>
          <w:tcPr>
            <w:tcW w:w="1129" w:type="dxa"/>
            <w:vAlign w:val="center"/>
          </w:tcPr>
          <w:p w14:paraId="7F8BDF6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29CF7077" w14:textId="77777777" w:rsidTr="0013617C">
        <w:tc>
          <w:tcPr>
            <w:tcW w:w="1555" w:type="dxa"/>
            <w:vMerge/>
            <w:vAlign w:val="center"/>
          </w:tcPr>
          <w:p w14:paraId="217D7F36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66860D3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3FB4CAB8" w14:textId="60F9DD5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29.42</w:t>
            </w:r>
          </w:p>
        </w:tc>
        <w:tc>
          <w:tcPr>
            <w:tcW w:w="1157" w:type="dxa"/>
            <w:vAlign w:val="center"/>
          </w:tcPr>
          <w:p w14:paraId="15D1DE58" w14:textId="5022647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-0.17%</w:t>
            </w:r>
          </w:p>
        </w:tc>
        <w:tc>
          <w:tcPr>
            <w:tcW w:w="947" w:type="dxa"/>
            <w:vAlign w:val="center"/>
          </w:tcPr>
          <w:p w14:paraId="2F4BA638" w14:textId="7C40E8D5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63.71</w:t>
            </w:r>
          </w:p>
        </w:tc>
        <w:tc>
          <w:tcPr>
            <w:tcW w:w="1134" w:type="dxa"/>
            <w:vAlign w:val="center"/>
          </w:tcPr>
          <w:p w14:paraId="04347A6E" w14:textId="157CE24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0.19%</w:t>
            </w:r>
          </w:p>
        </w:tc>
        <w:tc>
          <w:tcPr>
            <w:tcW w:w="1417" w:type="dxa"/>
            <w:vAlign w:val="center"/>
          </w:tcPr>
          <w:p w14:paraId="6C497765" w14:textId="70B64FE4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37.37</w:t>
            </w:r>
          </w:p>
        </w:tc>
        <w:tc>
          <w:tcPr>
            <w:tcW w:w="1129" w:type="dxa"/>
            <w:vAlign w:val="center"/>
          </w:tcPr>
          <w:p w14:paraId="597648B0" w14:textId="1D23D112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17.49%</w:t>
            </w:r>
          </w:p>
        </w:tc>
      </w:tr>
      <w:tr w:rsidR="008E6BEC" w14:paraId="0684C807" w14:textId="77777777" w:rsidTr="0013617C">
        <w:tc>
          <w:tcPr>
            <w:tcW w:w="1555" w:type="dxa"/>
            <w:vMerge/>
            <w:vAlign w:val="center"/>
          </w:tcPr>
          <w:p w14:paraId="161A479F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093A4FB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1D10043B" w14:textId="1983718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29.34</w:t>
            </w:r>
          </w:p>
        </w:tc>
        <w:tc>
          <w:tcPr>
            <w:tcW w:w="1157" w:type="dxa"/>
            <w:vAlign w:val="center"/>
          </w:tcPr>
          <w:p w14:paraId="0A7F177D" w14:textId="6B83E31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-0.44%</w:t>
            </w:r>
          </w:p>
        </w:tc>
        <w:tc>
          <w:tcPr>
            <w:tcW w:w="947" w:type="dxa"/>
            <w:vAlign w:val="center"/>
          </w:tcPr>
          <w:p w14:paraId="48B4D7E6" w14:textId="01E23316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64.92</w:t>
            </w:r>
          </w:p>
        </w:tc>
        <w:tc>
          <w:tcPr>
            <w:tcW w:w="1134" w:type="dxa"/>
            <w:vAlign w:val="center"/>
          </w:tcPr>
          <w:p w14:paraId="5CCB62F4" w14:textId="2AB55D2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2.09%</w:t>
            </w:r>
          </w:p>
        </w:tc>
        <w:tc>
          <w:tcPr>
            <w:tcW w:w="1417" w:type="dxa"/>
            <w:vAlign w:val="center"/>
          </w:tcPr>
          <w:p w14:paraId="01A000AA" w14:textId="0218611B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37.29</w:t>
            </w:r>
          </w:p>
        </w:tc>
        <w:tc>
          <w:tcPr>
            <w:tcW w:w="1129" w:type="dxa"/>
            <w:vAlign w:val="center"/>
          </w:tcPr>
          <w:p w14:paraId="72461AF3" w14:textId="7C51F9CF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17.66%</w:t>
            </w:r>
          </w:p>
        </w:tc>
      </w:tr>
      <w:tr w:rsidR="008E6BEC" w14:paraId="62ED33D0" w14:textId="77777777" w:rsidTr="0013617C">
        <w:tc>
          <w:tcPr>
            <w:tcW w:w="1555" w:type="dxa"/>
            <w:vMerge w:val="restart"/>
            <w:vAlign w:val="center"/>
          </w:tcPr>
          <w:p w14:paraId="2EFA7B34" w14:textId="040EDE6E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5A55386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1260CDD0" w14:textId="2569E98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30.14</w:t>
            </w:r>
          </w:p>
        </w:tc>
        <w:tc>
          <w:tcPr>
            <w:tcW w:w="1157" w:type="dxa"/>
            <w:vAlign w:val="center"/>
          </w:tcPr>
          <w:p w14:paraId="26C45F9C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6949C3E" w14:textId="5AD26A1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30.28</w:t>
            </w:r>
          </w:p>
        </w:tc>
        <w:tc>
          <w:tcPr>
            <w:tcW w:w="1134" w:type="dxa"/>
            <w:vAlign w:val="center"/>
          </w:tcPr>
          <w:p w14:paraId="1E3AD5AF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246846" w14:textId="4BED768B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50.11</w:t>
            </w:r>
          </w:p>
        </w:tc>
        <w:tc>
          <w:tcPr>
            <w:tcW w:w="1129" w:type="dxa"/>
            <w:vAlign w:val="center"/>
          </w:tcPr>
          <w:p w14:paraId="59C12D21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359AEF46" w14:textId="77777777" w:rsidTr="0013617C">
        <w:tc>
          <w:tcPr>
            <w:tcW w:w="1555" w:type="dxa"/>
            <w:vMerge/>
            <w:vAlign w:val="center"/>
          </w:tcPr>
          <w:p w14:paraId="40E990D3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5B65B57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67EF3C4B" w14:textId="2B0E9E3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30.19</w:t>
            </w:r>
          </w:p>
        </w:tc>
        <w:tc>
          <w:tcPr>
            <w:tcW w:w="1157" w:type="dxa"/>
            <w:vAlign w:val="center"/>
          </w:tcPr>
          <w:p w14:paraId="5FE8ED93" w14:textId="32FCB38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0.17%</w:t>
            </w:r>
          </w:p>
        </w:tc>
        <w:tc>
          <w:tcPr>
            <w:tcW w:w="947" w:type="dxa"/>
            <w:vAlign w:val="center"/>
          </w:tcPr>
          <w:p w14:paraId="05EF0290" w14:textId="2CF6742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31.08</w:t>
            </w:r>
          </w:p>
        </w:tc>
        <w:tc>
          <w:tcPr>
            <w:tcW w:w="1134" w:type="dxa"/>
            <w:vAlign w:val="center"/>
          </w:tcPr>
          <w:p w14:paraId="3D41FFD7" w14:textId="124F4BFC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2.64%</w:t>
            </w:r>
          </w:p>
        </w:tc>
        <w:tc>
          <w:tcPr>
            <w:tcW w:w="1417" w:type="dxa"/>
            <w:vAlign w:val="center"/>
          </w:tcPr>
          <w:p w14:paraId="2800B76B" w14:textId="6FE97275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41.90</w:t>
            </w:r>
          </w:p>
        </w:tc>
        <w:tc>
          <w:tcPr>
            <w:tcW w:w="1129" w:type="dxa"/>
            <w:vAlign w:val="center"/>
          </w:tcPr>
          <w:p w14:paraId="3E895552" w14:textId="69D8F7CD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16.38%</w:t>
            </w:r>
          </w:p>
        </w:tc>
      </w:tr>
      <w:tr w:rsidR="008E6BEC" w14:paraId="7E878BCB" w14:textId="77777777" w:rsidTr="0013617C">
        <w:tc>
          <w:tcPr>
            <w:tcW w:w="1555" w:type="dxa"/>
            <w:vMerge/>
            <w:vAlign w:val="center"/>
          </w:tcPr>
          <w:p w14:paraId="13DA2B05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33B1297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2E8FD0F5" w14:textId="7B2F3D2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30.17</w:t>
            </w:r>
          </w:p>
        </w:tc>
        <w:tc>
          <w:tcPr>
            <w:tcW w:w="1157" w:type="dxa"/>
            <w:vAlign w:val="center"/>
          </w:tcPr>
          <w:p w14:paraId="5E5018F9" w14:textId="32B30C6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0.10%</w:t>
            </w:r>
          </w:p>
        </w:tc>
        <w:tc>
          <w:tcPr>
            <w:tcW w:w="947" w:type="dxa"/>
            <w:vAlign w:val="center"/>
          </w:tcPr>
          <w:p w14:paraId="41DAFDB8" w14:textId="45034DE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32.43</w:t>
            </w:r>
          </w:p>
        </w:tc>
        <w:tc>
          <w:tcPr>
            <w:tcW w:w="1134" w:type="dxa"/>
            <w:vAlign w:val="center"/>
          </w:tcPr>
          <w:p w14:paraId="09445FF4" w14:textId="1B01083A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7.10%</w:t>
            </w:r>
          </w:p>
        </w:tc>
        <w:tc>
          <w:tcPr>
            <w:tcW w:w="1417" w:type="dxa"/>
            <w:vAlign w:val="center"/>
          </w:tcPr>
          <w:p w14:paraId="1F21BA88" w14:textId="43A752B5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41.75</w:t>
            </w:r>
          </w:p>
        </w:tc>
        <w:tc>
          <w:tcPr>
            <w:tcW w:w="1129" w:type="dxa"/>
            <w:vAlign w:val="center"/>
          </w:tcPr>
          <w:p w14:paraId="6BFDB14B" w14:textId="051CBE6D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16.68%</w:t>
            </w:r>
          </w:p>
        </w:tc>
      </w:tr>
      <w:tr w:rsidR="008E6BEC" w14:paraId="2BD99400" w14:textId="77777777" w:rsidTr="0013617C">
        <w:tc>
          <w:tcPr>
            <w:tcW w:w="1555" w:type="dxa"/>
            <w:vMerge w:val="restart"/>
            <w:vAlign w:val="center"/>
          </w:tcPr>
          <w:p w14:paraId="310AED33" w14:textId="16EA885A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0B3A7A26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5D6CB542" w14:textId="17E1C1C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30.40</w:t>
            </w:r>
          </w:p>
        </w:tc>
        <w:tc>
          <w:tcPr>
            <w:tcW w:w="1157" w:type="dxa"/>
            <w:vAlign w:val="center"/>
          </w:tcPr>
          <w:p w14:paraId="2E727A5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8CB715B" w14:textId="5FAA1B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14.48</w:t>
            </w:r>
          </w:p>
        </w:tc>
        <w:tc>
          <w:tcPr>
            <w:tcW w:w="1134" w:type="dxa"/>
            <w:vAlign w:val="center"/>
          </w:tcPr>
          <w:p w14:paraId="2FC89A8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DDD3197" w14:textId="2F50966F" w:rsidR="008E6BEC" w:rsidRPr="00ED0788" w:rsidRDefault="008E6BEC" w:rsidP="004A7835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58.50</w:t>
            </w:r>
          </w:p>
        </w:tc>
        <w:tc>
          <w:tcPr>
            <w:tcW w:w="1129" w:type="dxa"/>
            <w:vAlign w:val="center"/>
          </w:tcPr>
          <w:p w14:paraId="69C4540E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21FB06DC" w14:textId="77777777" w:rsidTr="0013617C">
        <w:tc>
          <w:tcPr>
            <w:tcW w:w="1555" w:type="dxa"/>
            <w:vMerge/>
            <w:vAlign w:val="center"/>
          </w:tcPr>
          <w:p w14:paraId="550F8197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4EEB6388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375644E7" w14:textId="494CAAE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30.41</w:t>
            </w:r>
          </w:p>
        </w:tc>
        <w:tc>
          <w:tcPr>
            <w:tcW w:w="1157" w:type="dxa"/>
            <w:vAlign w:val="center"/>
          </w:tcPr>
          <w:p w14:paraId="039E2C5C" w14:textId="7CEE464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6618821D" w14:textId="04A54EF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15.25</w:t>
            </w:r>
          </w:p>
        </w:tc>
        <w:tc>
          <w:tcPr>
            <w:tcW w:w="1134" w:type="dxa"/>
            <w:vAlign w:val="center"/>
          </w:tcPr>
          <w:p w14:paraId="55447152" w14:textId="4C6FA56E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5.32%</w:t>
            </w:r>
          </w:p>
        </w:tc>
        <w:tc>
          <w:tcPr>
            <w:tcW w:w="1417" w:type="dxa"/>
            <w:vAlign w:val="center"/>
          </w:tcPr>
          <w:p w14:paraId="3DBC2803" w14:textId="3AC218D1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49.70</w:t>
            </w:r>
          </w:p>
        </w:tc>
        <w:tc>
          <w:tcPr>
            <w:tcW w:w="1129" w:type="dxa"/>
            <w:vAlign w:val="center"/>
          </w:tcPr>
          <w:p w14:paraId="7657D108" w14:textId="433ECCC3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15.04%</w:t>
            </w:r>
          </w:p>
        </w:tc>
      </w:tr>
      <w:tr w:rsidR="008E6BEC" w14:paraId="6BF01582" w14:textId="77777777" w:rsidTr="0013617C">
        <w:tc>
          <w:tcPr>
            <w:tcW w:w="1555" w:type="dxa"/>
            <w:vMerge/>
            <w:vAlign w:val="center"/>
          </w:tcPr>
          <w:p w14:paraId="3642EF94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40EDC972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7D55FB98" w14:textId="64AFFEA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30.50</w:t>
            </w:r>
          </w:p>
        </w:tc>
        <w:tc>
          <w:tcPr>
            <w:tcW w:w="1157" w:type="dxa"/>
            <w:vAlign w:val="center"/>
          </w:tcPr>
          <w:p w14:paraId="66A1E69C" w14:textId="28247B9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6C18DA31" w14:textId="254FC724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16.57</w:t>
            </w:r>
          </w:p>
        </w:tc>
        <w:tc>
          <w:tcPr>
            <w:tcW w:w="1134" w:type="dxa"/>
            <w:vAlign w:val="center"/>
          </w:tcPr>
          <w:p w14:paraId="10777CBE" w14:textId="3FEBC6F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14.43%</w:t>
            </w:r>
          </w:p>
        </w:tc>
        <w:tc>
          <w:tcPr>
            <w:tcW w:w="1417" w:type="dxa"/>
            <w:vAlign w:val="center"/>
          </w:tcPr>
          <w:p w14:paraId="52F95113" w14:textId="5B422F94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49.23</w:t>
            </w:r>
          </w:p>
        </w:tc>
        <w:tc>
          <w:tcPr>
            <w:tcW w:w="1129" w:type="dxa"/>
            <w:vAlign w:val="center"/>
          </w:tcPr>
          <w:p w14:paraId="41A82DC1" w14:textId="15281955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15.85%</w:t>
            </w:r>
          </w:p>
        </w:tc>
      </w:tr>
      <w:tr w:rsidR="008E6BEC" w14:paraId="5FCD1ADD" w14:textId="77777777" w:rsidTr="0013617C">
        <w:tc>
          <w:tcPr>
            <w:tcW w:w="1555" w:type="dxa"/>
            <w:vMerge w:val="restart"/>
            <w:vAlign w:val="center"/>
          </w:tcPr>
          <w:p w14:paraId="7476189B" w14:textId="7465F49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719AE03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5D98FCE4" w14:textId="3244C82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512A9F5A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B302871" w14:textId="6B878C68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6.60</w:t>
            </w:r>
          </w:p>
        </w:tc>
        <w:tc>
          <w:tcPr>
            <w:tcW w:w="1134" w:type="dxa"/>
            <w:vAlign w:val="center"/>
          </w:tcPr>
          <w:p w14:paraId="318C74B5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4660EC1" w14:textId="40E0E3E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71.31</w:t>
            </w:r>
          </w:p>
        </w:tc>
        <w:tc>
          <w:tcPr>
            <w:tcW w:w="1129" w:type="dxa"/>
            <w:vAlign w:val="center"/>
          </w:tcPr>
          <w:p w14:paraId="0A50FB80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6BEC" w14:paraId="432DE764" w14:textId="77777777" w:rsidTr="0013617C">
        <w:tc>
          <w:tcPr>
            <w:tcW w:w="1555" w:type="dxa"/>
            <w:vMerge/>
            <w:vAlign w:val="center"/>
          </w:tcPr>
          <w:p w14:paraId="5A8C876B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5C340CB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53D93B3F" w14:textId="718D0373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4FC2CD82" w14:textId="411C907F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947" w:type="dxa"/>
            <w:vAlign w:val="center"/>
          </w:tcPr>
          <w:p w14:paraId="7F52C419" w14:textId="535C77C1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7.07</w:t>
            </w:r>
          </w:p>
        </w:tc>
        <w:tc>
          <w:tcPr>
            <w:tcW w:w="1134" w:type="dxa"/>
            <w:vAlign w:val="center"/>
          </w:tcPr>
          <w:p w14:paraId="2539E50D" w14:textId="6492B629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7.12%</w:t>
            </w:r>
          </w:p>
        </w:tc>
        <w:tc>
          <w:tcPr>
            <w:tcW w:w="1417" w:type="dxa"/>
            <w:vAlign w:val="center"/>
          </w:tcPr>
          <w:p w14:paraId="3914E1D7" w14:textId="3E60A02E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61.22</w:t>
            </w:r>
          </w:p>
        </w:tc>
        <w:tc>
          <w:tcPr>
            <w:tcW w:w="1129" w:type="dxa"/>
            <w:vAlign w:val="center"/>
          </w:tcPr>
          <w:p w14:paraId="7128BED5" w14:textId="1BEDD76F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14.15%</w:t>
            </w:r>
          </w:p>
        </w:tc>
      </w:tr>
      <w:tr w:rsidR="008E6BEC" w14:paraId="0CBD0793" w14:textId="77777777" w:rsidTr="0013617C">
        <w:tc>
          <w:tcPr>
            <w:tcW w:w="1555" w:type="dxa"/>
            <w:vMerge/>
            <w:vAlign w:val="center"/>
          </w:tcPr>
          <w:p w14:paraId="5312C477" w14:textId="77777777" w:rsidR="008E6BEC" w:rsidRPr="00ED0788" w:rsidRDefault="008E6BEC" w:rsidP="004A783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1207DA9B" w14:textId="7777777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525A29D3" w14:textId="49D40CB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30.25</w:t>
            </w:r>
          </w:p>
        </w:tc>
        <w:tc>
          <w:tcPr>
            <w:tcW w:w="1157" w:type="dxa"/>
            <w:vAlign w:val="center"/>
          </w:tcPr>
          <w:p w14:paraId="6803625C" w14:textId="2954D4D2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64E1540A" w14:textId="3949D17D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8.24</w:t>
            </w:r>
          </w:p>
        </w:tc>
        <w:tc>
          <w:tcPr>
            <w:tcW w:w="1134" w:type="dxa"/>
            <w:vAlign w:val="center"/>
          </w:tcPr>
          <w:p w14:paraId="3361DDB3" w14:textId="27FCA3E7" w:rsidR="008E6BEC" w:rsidRPr="00ED0788" w:rsidRDefault="008E6BEC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24.85%</w:t>
            </w:r>
          </w:p>
        </w:tc>
        <w:tc>
          <w:tcPr>
            <w:tcW w:w="1417" w:type="dxa"/>
            <w:vAlign w:val="center"/>
          </w:tcPr>
          <w:p w14:paraId="4C82DC3E" w14:textId="0E6E852F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59.88</w:t>
            </w:r>
          </w:p>
        </w:tc>
        <w:tc>
          <w:tcPr>
            <w:tcW w:w="1129" w:type="dxa"/>
            <w:vAlign w:val="center"/>
          </w:tcPr>
          <w:p w14:paraId="5348038D" w14:textId="40F816F8" w:rsidR="008E6BEC" w:rsidRPr="00ED0788" w:rsidRDefault="00C04745" w:rsidP="004A7835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16.03%</w:t>
            </w:r>
          </w:p>
        </w:tc>
      </w:tr>
    </w:tbl>
    <w:p w14:paraId="7B9B0164" w14:textId="77777777" w:rsidR="00ED0788" w:rsidRPr="00ED0788" w:rsidRDefault="00ED0788" w:rsidP="00ED0788"/>
    <w:p w14:paraId="24248889" w14:textId="5A3A2DB7" w:rsidR="00ED0788" w:rsidRDefault="00ED0788" w:rsidP="00ED0788">
      <w:pPr>
        <w:pStyle w:val="Doc-text2"/>
        <w:tabs>
          <w:tab w:val="left" w:pos="340"/>
        </w:tabs>
        <w:spacing w:before="120" w:after="120"/>
        <w:ind w:left="0" w:firstLine="0"/>
        <w:jc w:val="both"/>
      </w:pPr>
      <w:r>
        <w:rPr>
          <w:rFonts w:eastAsiaTheme="minorEastAsia" w:cs="Arial"/>
          <w:sz w:val="22"/>
          <w:lang w:eastAsia="zh-CN"/>
        </w:rPr>
        <w:lastRenderedPageBreak/>
        <w:t xml:space="preserve">In FR2, assuming that 4 CCs are in use, the evaluation results of 120kHz are shown in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_Ref23783468 \h  \* MERGEFORMAT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151DD" w:rsidRPr="00C151DD">
        <w:rPr>
          <w:rFonts w:eastAsiaTheme="minorEastAsia" w:cs="Arial"/>
          <w:sz w:val="22"/>
          <w:lang w:eastAsia="zh-CN"/>
        </w:rPr>
        <w:t>Table 3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. </w:t>
      </w:r>
    </w:p>
    <w:p w14:paraId="2896B7C7" w14:textId="7FD342C7" w:rsidR="00ED0788" w:rsidRPr="00ED0788" w:rsidRDefault="00ED0788" w:rsidP="00ED0788">
      <w:pPr>
        <w:pStyle w:val="Caption"/>
        <w:jc w:val="center"/>
      </w:pPr>
      <w:bookmarkStart w:id="9" w:name="_Ref23783468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3</w:t>
      </w:r>
      <w:r w:rsidRPr="00ED0788">
        <w:rPr>
          <w:rFonts w:ascii="Arial" w:hAnsi="Arial" w:cs="Arial"/>
        </w:rPr>
        <w:fldChar w:fldCharType="end"/>
      </w:r>
      <w:bookmarkEnd w:id="9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 w:rsidR="00C65808"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</w:t>
      </w:r>
      <w:r>
        <w:rPr>
          <w:rFonts w:ascii="Arial" w:hAnsi="Arial" w:cs="Arial"/>
        </w:rPr>
        <w:t>20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420"/>
        <w:gridCol w:w="730"/>
        <w:gridCol w:w="1199"/>
        <w:gridCol w:w="856"/>
        <w:gridCol w:w="1158"/>
        <w:gridCol w:w="1401"/>
        <w:gridCol w:w="1414"/>
      </w:tblGrid>
      <w:tr w:rsidR="00ED0788" w14:paraId="431A7894" w14:textId="77777777" w:rsidTr="0013617C">
        <w:trPr>
          <w:cantSplit/>
          <w:trHeight w:val="1134"/>
        </w:trPr>
        <w:tc>
          <w:tcPr>
            <w:tcW w:w="2871" w:type="dxa"/>
            <w:gridSpan w:val="2"/>
            <w:vAlign w:val="center"/>
          </w:tcPr>
          <w:p w14:paraId="0B443EC9" w14:textId="77777777" w:rsidR="002F7701" w:rsidRPr="0013617C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13617C">
              <w:rPr>
                <w:b/>
                <w:sz w:val="20"/>
                <w:szCs w:val="20"/>
              </w:rPr>
              <w:t># of UEs/Cell = 10,</w:t>
            </w:r>
          </w:p>
          <w:p w14:paraId="54294CCE" w14:textId="77777777" w:rsidR="002F7701" w:rsidRPr="0013617C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13617C">
              <w:rPr>
                <w:b/>
                <w:sz w:val="20"/>
                <w:szCs w:val="20"/>
              </w:rPr>
              <w:t>BWP timer = 1ms</w:t>
            </w:r>
          </w:p>
          <w:p w14:paraId="7C559EAE" w14:textId="10A0B59D" w:rsidR="00ED0788" w:rsidRPr="0013617C" w:rsidRDefault="002F7701" w:rsidP="0013617C">
            <w:pPr>
              <w:spacing w:after="0"/>
              <w:rPr>
                <w:b/>
                <w:sz w:val="20"/>
                <w:szCs w:val="20"/>
              </w:rPr>
            </w:pPr>
            <w:r w:rsidRPr="0013617C">
              <w:rPr>
                <w:b/>
                <w:sz w:val="20"/>
                <w:szCs w:val="20"/>
              </w:rPr>
              <w:t>Type-1: 6 slots, Type-2: 18 slots</w:t>
            </w:r>
          </w:p>
        </w:tc>
        <w:tc>
          <w:tcPr>
            <w:tcW w:w="730" w:type="dxa"/>
            <w:vAlign w:val="center"/>
          </w:tcPr>
          <w:p w14:paraId="7BB57E81" w14:textId="3652793E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99" w:type="dxa"/>
            <w:vAlign w:val="center"/>
          </w:tcPr>
          <w:p w14:paraId="7CC32075" w14:textId="15021CAA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856" w:type="dxa"/>
            <w:vAlign w:val="center"/>
          </w:tcPr>
          <w:p w14:paraId="64C1239C" w14:textId="550472DC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58" w:type="dxa"/>
            <w:vAlign w:val="center"/>
          </w:tcPr>
          <w:p w14:paraId="6080024B" w14:textId="3321ADA7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01" w:type="dxa"/>
            <w:vAlign w:val="center"/>
          </w:tcPr>
          <w:p w14:paraId="29E4E34B" w14:textId="51AF0828" w:rsidR="00ED0788" w:rsidRPr="00ED0788" w:rsidRDefault="00ED0788" w:rsidP="00C65808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414" w:type="dxa"/>
            <w:vAlign w:val="center"/>
          </w:tcPr>
          <w:p w14:paraId="4CF08B3D" w14:textId="071A6853" w:rsidR="00ED0788" w:rsidRPr="00ED0788" w:rsidRDefault="00ED0788" w:rsidP="00C65808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ED0788" w14:paraId="50038088" w14:textId="77777777" w:rsidTr="0013617C">
        <w:trPr>
          <w:trHeight w:val="270"/>
        </w:trPr>
        <w:tc>
          <w:tcPr>
            <w:tcW w:w="1451" w:type="dxa"/>
            <w:vMerge w:val="restart"/>
            <w:vAlign w:val="center"/>
          </w:tcPr>
          <w:p w14:paraId="6990A24D" w14:textId="7BA635E1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420" w:type="dxa"/>
            <w:vAlign w:val="center"/>
          </w:tcPr>
          <w:p w14:paraId="6CAF4A53" w14:textId="230A2FD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1BC330A4" w14:textId="3A9EEE3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2A2DB901" w14:textId="6BE5BFA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371F2265" w14:textId="1CD8BF4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64.36</w:t>
            </w:r>
          </w:p>
        </w:tc>
        <w:tc>
          <w:tcPr>
            <w:tcW w:w="1158" w:type="dxa"/>
            <w:vAlign w:val="center"/>
          </w:tcPr>
          <w:p w14:paraId="40775E06" w14:textId="67F5450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3E5EE425" w14:textId="4898F13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120.56</w:t>
            </w:r>
          </w:p>
        </w:tc>
        <w:tc>
          <w:tcPr>
            <w:tcW w:w="1414" w:type="dxa"/>
            <w:vAlign w:val="center"/>
          </w:tcPr>
          <w:p w14:paraId="596342B8" w14:textId="4766DB2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7BBDD015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3166CCA1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4FC5138E" w14:textId="58D9798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568C0AF9" w14:textId="58C1ABC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.35</w:t>
            </w:r>
          </w:p>
        </w:tc>
        <w:tc>
          <w:tcPr>
            <w:tcW w:w="1199" w:type="dxa"/>
            <w:vAlign w:val="center"/>
          </w:tcPr>
          <w:p w14:paraId="558DCADF" w14:textId="2994399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3BACB3BD" w14:textId="48D77C0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64.97</w:t>
            </w:r>
          </w:p>
        </w:tc>
        <w:tc>
          <w:tcPr>
            <w:tcW w:w="1158" w:type="dxa"/>
            <w:vAlign w:val="center"/>
          </w:tcPr>
          <w:p w14:paraId="6B78349F" w14:textId="3359294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0.95%</w:t>
            </w:r>
          </w:p>
        </w:tc>
        <w:tc>
          <w:tcPr>
            <w:tcW w:w="1401" w:type="dxa"/>
            <w:vAlign w:val="center"/>
          </w:tcPr>
          <w:p w14:paraId="7D87A53B" w14:textId="7C81CEC1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92.56</w:t>
            </w:r>
          </w:p>
        </w:tc>
        <w:tc>
          <w:tcPr>
            <w:tcW w:w="1414" w:type="dxa"/>
            <w:vAlign w:val="center"/>
          </w:tcPr>
          <w:p w14:paraId="57DAB0CF" w14:textId="1AE5B56E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23.22%</w:t>
            </w:r>
          </w:p>
        </w:tc>
      </w:tr>
      <w:tr w:rsidR="00ED0788" w14:paraId="29AD8B37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3BE4C27F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52064832" w14:textId="2A17517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560C79A2" w14:textId="1CA2955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</w:t>
            </w: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199" w:type="dxa"/>
            <w:vAlign w:val="center"/>
          </w:tcPr>
          <w:p w14:paraId="37A32307" w14:textId="4F1517E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856" w:type="dxa"/>
            <w:vAlign w:val="center"/>
          </w:tcPr>
          <w:p w14:paraId="0883A1F5" w14:textId="3F1BD46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65.70</w:t>
            </w:r>
          </w:p>
        </w:tc>
        <w:tc>
          <w:tcPr>
            <w:tcW w:w="1158" w:type="dxa"/>
            <w:vAlign w:val="center"/>
          </w:tcPr>
          <w:p w14:paraId="3CE8E263" w14:textId="4B6FA74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2.08%</w:t>
            </w:r>
          </w:p>
        </w:tc>
        <w:tc>
          <w:tcPr>
            <w:tcW w:w="1401" w:type="dxa"/>
            <w:vAlign w:val="center"/>
          </w:tcPr>
          <w:p w14:paraId="4D41B426" w14:textId="796E056A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91.90</w:t>
            </w:r>
          </w:p>
        </w:tc>
        <w:tc>
          <w:tcPr>
            <w:tcW w:w="1414" w:type="dxa"/>
            <w:vAlign w:val="center"/>
          </w:tcPr>
          <w:p w14:paraId="6CA8FAE1" w14:textId="0CD2A627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23.94%</w:t>
            </w:r>
          </w:p>
        </w:tc>
      </w:tr>
      <w:tr w:rsidR="00ED0788" w14:paraId="57B86F14" w14:textId="77777777" w:rsidTr="0013617C">
        <w:trPr>
          <w:trHeight w:val="270"/>
        </w:trPr>
        <w:tc>
          <w:tcPr>
            <w:tcW w:w="1451" w:type="dxa"/>
            <w:vMerge w:val="restart"/>
            <w:vAlign w:val="center"/>
          </w:tcPr>
          <w:p w14:paraId="01C29207" w14:textId="13BFAED4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2068D03D" w14:textId="1769E2A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700988C1" w14:textId="1ABA92F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8.45</w:t>
            </w:r>
          </w:p>
        </w:tc>
        <w:tc>
          <w:tcPr>
            <w:tcW w:w="1199" w:type="dxa"/>
            <w:vAlign w:val="center"/>
          </w:tcPr>
          <w:p w14:paraId="38D047BA" w14:textId="4FF2B31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295C8EE7" w14:textId="3A9AD80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31.19</w:t>
            </w:r>
          </w:p>
        </w:tc>
        <w:tc>
          <w:tcPr>
            <w:tcW w:w="1158" w:type="dxa"/>
            <w:vAlign w:val="center"/>
          </w:tcPr>
          <w:p w14:paraId="5EE2EFB6" w14:textId="2CCE967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4312F102" w14:textId="3CD8C69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131.55</w:t>
            </w:r>
          </w:p>
        </w:tc>
        <w:tc>
          <w:tcPr>
            <w:tcW w:w="1414" w:type="dxa"/>
            <w:vAlign w:val="center"/>
          </w:tcPr>
          <w:p w14:paraId="48B4B60A" w14:textId="0C6E08E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07EA0D84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598A3D1D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27575C20" w14:textId="542822F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5D760241" w14:textId="16C7730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199" w:type="dxa"/>
            <w:vAlign w:val="center"/>
          </w:tcPr>
          <w:p w14:paraId="13414E29" w14:textId="6B8F6BD5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-0.36%</w:t>
            </w:r>
          </w:p>
        </w:tc>
        <w:tc>
          <w:tcPr>
            <w:tcW w:w="856" w:type="dxa"/>
            <w:vAlign w:val="center"/>
          </w:tcPr>
          <w:p w14:paraId="4B602681" w14:textId="5FDDB6D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31.54</w:t>
            </w:r>
          </w:p>
        </w:tc>
        <w:tc>
          <w:tcPr>
            <w:tcW w:w="1158" w:type="dxa"/>
            <w:vAlign w:val="center"/>
          </w:tcPr>
          <w:p w14:paraId="42B1F1C3" w14:textId="5AF22A42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1.12%</w:t>
            </w:r>
          </w:p>
        </w:tc>
        <w:tc>
          <w:tcPr>
            <w:tcW w:w="1401" w:type="dxa"/>
            <w:vAlign w:val="center"/>
          </w:tcPr>
          <w:p w14:paraId="3F94A9F2" w14:textId="083CD65A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101.64</w:t>
            </w:r>
          </w:p>
        </w:tc>
        <w:tc>
          <w:tcPr>
            <w:tcW w:w="1414" w:type="dxa"/>
            <w:vAlign w:val="center"/>
          </w:tcPr>
          <w:p w14:paraId="4548762A" w14:textId="20F7E64E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22.74%</w:t>
            </w:r>
          </w:p>
        </w:tc>
      </w:tr>
      <w:tr w:rsidR="00ED0788" w14:paraId="43C9F8DF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391535C7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7DBCEF4D" w14:textId="22D132F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54355F46" w14:textId="6D178811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8.44</w:t>
            </w:r>
          </w:p>
        </w:tc>
        <w:tc>
          <w:tcPr>
            <w:tcW w:w="1199" w:type="dxa"/>
            <w:vAlign w:val="center"/>
          </w:tcPr>
          <w:p w14:paraId="1E94D57A" w14:textId="35B53025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-0.12%</w:t>
            </w:r>
          </w:p>
        </w:tc>
        <w:tc>
          <w:tcPr>
            <w:tcW w:w="856" w:type="dxa"/>
            <w:vAlign w:val="center"/>
          </w:tcPr>
          <w:p w14:paraId="4ECE6304" w14:textId="0A7FC94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32.47</w:t>
            </w:r>
          </w:p>
        </w:tc>
        <w:tc>
          <w:tcPr>
            <w:tcW w:w="1158" w:type="dxa"/>
            <w:vAlign w:val="center"/>
          </w:tcPr>
          <w:p w14:paraId="5EB9650C" w14:textId="59939F2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4.10%</w:t>
            </w:r>
          </w:p>
        </w:tc>
        <w:tc>
          <w:tcPr>
            <w:tcW w:w="1401" w:type="dxa"/>
            <w:vAlign w:val="center"/>
          </w:tcPr>
          <w:p w14:paraId="096659F9" w14:textId="614B0D3C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100.41</w:t>
            </w:r>
          </w:p>
        </w:tc>
        <w:tc>
          <w:tcPr>
            <w:tcW w:w="1414" w:type="dxa"/>
            <w:vAlign w:val="center"/>
          </w:tcPr>
          <w:p w14:paraId="36966C6A" w14:textId="17479AE7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23.67%</w:t>
            </w:r>
          </w:p>
        </w:tc>
      </w:tr>
      <w:tr w:rsidR="00ED0788" w14:paraId="711357A9" w14:textId="77777777" w:rsidTr="0013617C">
        <w:trPr>
          <w:trHeight w:val="270"/>
        </w:trPr>
        <w:tc>
          <w:tcPr>
            <w:tcW w:w="1451" w:type="dxa"/>
            <w:vMerge w:val="restart"/>
            <w:vAlign w:val="center"/>
          </w:tcPr>
          <w:p w14:paraId="365D5F19" w14:textId="6CEA40EB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40, 5, 1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371624FD" w14:textId="34B9624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6795CEC1" w14:textId="7E6A47A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199" w:type="dxa"/>
            <w:vAlign w:val="center"/>
          </w:tcPr>
          <w:p w14:paraId="7929C1F0" w14:textId="7459357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52020FBE" w14:textId="1AD4F95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14.51</w:t>
            </w:r>
          </w:p>
        </w:tc>
        <w:tc>
          <w:tcPr>
            <w:tcW w:w="1158" w:type="dxa"/>
            <w:vAlign w:val="center"/>
          </w:tcPr>
          <w:p w14:paraId="3422DA18" w14:textId="1D64765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38159E0A" w14:textId="7E250D17" w:rsidR="00ED0788" w:rsidRPr="00ED0788" w:rsidRDefault="00ED0788" w:rsidP="00C65808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152.77</w:t>
            </w:r>
          </w:p>
        </w:tc>
        <w:tc>
          <w:tcPr>
            <w:tcW w:w="1414" w:type="dxa"/>
            <w:vAlign w:val="center"/>
          </w:tcPr>
          <w:p w14:paraId="305CBEE0" w14:textId="321BA68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7CBA9356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0E16E8C1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1FEBFF6B" w14:textId="46FD501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3BB27467" w14:textId="19C90E2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8.31</w:t>
            </w:r>
          </w:p>
        </w:tc>
        <w:tc>
          <w:tcPr>
            <w:tcW w:w="1199" w:type="dxa"/>
            <w:vAlign w:val="center"/>
          </w:tcPr>
          <w:p w14:paraId="482866AA" w14:textId="0101EA5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50F75A07" w14:textId="0AF6F7B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14.96</w:t>
            </w:r>
          </w:p>
        </w:tc>
        <w:tc>
          <w:tcPr>
            <w:tcW w:w="1158" w:type="dxa"/>
            <w:vAlign w:val="center"/>
          </w:tcPr>
          <w:p w14:paraId="3C45A951" w14:textId="3208787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3.10%</w:t>
            </w:r>
          </w:p>
        </w:tc>
        <w:tc>
          <w:tcPr>
            <w:tcW w:w="1401" w:type="dxa"/>
            <w:vAlign w:val="center"/>
          </w:tcPr>
          <w:p w14:paraId="577D5C0B" w14:textId="310E5D2C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119.09</w:t>
            </w:r>
          </w:p>
        </w:tc>
        <w:tc>
          <w:tcPr>
            <w:tcW w:w="1414" w:type="dxa"/>
            <w:vAlign w:val="center"/>
          </w:tcPr>
          <w:p w14:paraId="7F41071B" w14:textId="0F191EE1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22.05%</w:t>
            </w:r>
          </w:p>
        </w:tc>
      </w:tr>
      <w:tr w:rsidR="00ED0788" w14:paraId="56429841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1CB34640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249AD068" w14:textId="7EF6269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6239E060" w14:textId="74B9719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8.26</w:t>
            </w:r>
          </w:p>
        </w:tc>
        <w:tc>
          <w:tcPr>
            <w:tcW w:w="1199" w:type="dxa"/>
            <w:vAlign w:val="center"/>
          </w:tcPr>
          <w:p w14:paraId="61619E5C" w14:textId="359533C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-0.48%</w:t>
            </w:r>
          </w:p>
        </w:tc>
        <w:tc>
          <w:tcPr>
            <w:tcW w:w="856" w:type="dxa"/>
            <w:vAlign w:val="center"/>
          </w:tcPr>
          <w:p w14:paraId="7905274E" w14:textId="4DE55FF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15.92</w:t>
            </w:r>
          </w:p>
        </w:tc>
        <w:tc>
          <w:tcPr>
            <w:tcW w:w="1158" w:type="dxa"/>
            <w:vAlign w:val="center"/>
          </w:tcPr>
          <w:p w14:paraId="55C1CD27" w14:textId="4C94380F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9.72%</w:t>
            </w:r>
          </w:p>
        </w:tc>
        <w:tc>
          <w:tcPr>
            <w:tcW w:w="1401" w:type="dxa"/>
            <w:vAlign w:val="center"/>
          </w:tcPr>
          <w:p w14:paraId="06E827B7" w14:textId="51C25290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116.51</w:t>
            </w:r>
          </w:p>
        </w:tc>
        <w:tc>
          <w:tcPr>
            <w:tcW w:w="1414" w:type="dxa"/>
            <w:vAlign w:val="center"/>
          </w:tcPr>
          <w:p w14:paraId="13484317" w14:textId="26E63A54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23.74%</w:t>
            </w:r>
          </w:p>
        </w:tc>
      </w:tr>
      <w:tr w:rsidR="00ED0788" w14:paraId="631F8092" w14:textId="77777777" w:rsidTr="0013617C">
        <w:trPr>
          <w:trHeight w:val="270"/>
        </w:trPr>
        <w:tc>
          <w:tcPr>
            <w:tcW w:w="1451" w:type="dxa"/>
            <w:vMerge w:val="restart"/>
            <w:vAlign w:val="center"/>
          </w:tcPr>
          <w:p w14:paraId="53D7D9B7" w14:textId="755F984D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20, 5, 5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1AC83519" w14:textId="7CCF7963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0DA9BDFA" w14:textId="2F5EA25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199" w:type="dxa"/>
            <w:vAlign w:val="center"/>
          </w:tcPr>
          <w:p w14:paraId="43E9D4A5" w14:textId="69CFEC6B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7C8F99F3" w14:textId="2AB656A8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6.46</w:t>
            </w:r>
          </w:p>
        </w:tc>
        <w:tc>
          <w:tcPr>
            <w:tcW w:w="1158" w:type="dxa"/>
            <w:vAlign w:val="center"/>
          </w:tcPr>
          <w:p w14:paraId="2C120194" w14:textId="68ADB63C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49D35FCF" w14:textId="50BECB06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192.82</w:t>
            </w:r>
          </w:p>
        </w:tc>
        <w:tc>
          <w:tcPr>
            <w:tcW w:w="1414" w:type="dxa"/>
            <w:vAlign w:val="center"/>
          </w:tcPr>
          <w:p w14:paraId="4D0F6842" w14:textId="6B35152E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D0788" w14:paraId="254FA6AA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4A943DA6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340DF6A0" w14:textId="3E70D21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16BB327E" w14:textId="475707A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268CC180" w14:textId="2D7C53DA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00E8080C" w14:textId="56962934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6.85</w:t>
            </w:r>
          </w:p>
        </w:tc>
        <w:tc>
          <w:tcPr>
            <w:tcW w:w="1158" w:type="dxa"/>
            <w:vAlign w:val="center"/>
          </w:tcPr>
          <w:p w14:paraId="60895ED8" w14:textId="07B4E46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6.04%</w:t>
            </w:r>
          </w:p>
        </w:tc>
        <w:tc>
          <w:tcPr>
            <w:tcW w:w="1401" w:type="dxa"/>
            <w:vAlign w:val="center"/>
          </w:tcPr>
          <w:p w14:paraId="11085DF0" w14:textId="69585E16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151.19</w:t>
            </w:r>
          </w:p>
        </w:tc>
        <w:tc>
          <w:tcPr>
            <w:tcW w:w="1414" w:type="dxa"/>
            <w:vAlign w:val="center"/>
          </w:tcPr>
          <w:p w14:paraId="09087A7C" w14:textId="7E1E6D52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21.59%</w:t>
            </w:r>
          </w:p>
        </w:tc>
      </w:tr>
      <w:tr w:rsidR="00ED0788" w14:paraId="44BE3BF5" w14:textId="77777777" w:rsidTr="0013617C">
        <w:trPr>
          <w:trHeight w:val="270"/>
        </w:trPr>
        <w:tc>
          <w:tcPr>
            <w:tcW w:w="1451" w:type="dxa"/>
            <w:vMerge/>
            <w:vAlign w:val="center"/>
          </w:tcPr>
          <w:p w14:paraId="7BB98366" w14:textId="77777777" w:rsidR="00ED0788" w:rsidRPr="00ED0788" w:rsidRDefault="00ED0788" w:rsidP="00C6580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16F2D060" w14:textId="09377679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7C30B123" w14:textId="3FA5053D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730889BE" w14:textId="58FDECF7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29992BF2" w14:textId="2EDB8C30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7.83</w:t>
            </w:r>
          </w:p>
        </w:tc>
        <w:tc>
          <w:tcPr>
            <w:tcW w:w="1158" w:type="dxa"/>
            <w:vAlign w:val="center"/>
          </w:tcPr>
          <w:p w14:paraId="7437A85F" w14:textId="18DB1A6B" w:rsidR="00ED0788" w:rsidRPr="00ED0788" w:rsidRDefault="00ED0788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21.21%</w:t>
            </w:r>
          </w:p>
        </w:tc>
        <w:tc>
          <w:tcPr>
            <w:tcW w:w="1401" w:type="dxa"/>
            <w:vAlign w:val="center"/>
          </w:tcPr>
          <w:p w14:paraId="16432CF7" w14:textId="03783D51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146.37</w:t>
            </w:r>
          </w:p>
        </w:tc>
        <w:tc>
          <w:tcPr>
            <w:tcW w:w="1414" w:type="dxa"/>
            <w:vAlign w:val="center"/>
          </w:tcPr>
          <w:p w14:paraId="2A20BB4D" w14:textId="36D50958" w:rsidR="00ED0788" w:rsidRPr="00ED0788" w:rsidRDefault="00C04745" w:rsidP="00C65808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4745">
              <w:rPr>
                <w:rFonts w:cs="Arial"/>
                <w:sz w:val="20"/>
                <w:szCs w:val="20"/>
              </w:rPr>
              <w:t>24.09%</w:t>
            </w:r>
          </w:p>
        </w:tc>
      </w:tr>
    </w:tbl>
    <w:p w14:paraId="0B7147BE" w14:textId="77777777" w:rsidR="00ED0788" w:rsidRPr="00ED0788" w:rsidRDefault="00ED0788" w:rsidP="00ED0788"/>
    <w:p w14:paraId="66A671FF" w14:textId="7167ACB1" w:rsidR="00C04745" w:rsidRDefault="008E6BE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According to above evaluation results, we can see that </w:t>
      </w:r>
      <w:r w:rsidR="00C04745">
        <w:rPr>
          <w:rFonts w:eastAsiaTheme="minorEastAsia" w:cs="Arial"/>
          <w:sz w:val="22"/>
          <w:lang w:eastAsia="zh-CN"/>
        </w:rPr>
        <w:t>t</w:t>
      </w:r>
      <w:r w:rsidR="00C04745" w:rsidRPr="00C04745">
        <w:rPr>
          <w:rFonts w:eastAsiaTheme="minorEastAsia" w:cs="Arial"/>
          <w:sz w:val="22"/>
          <w:lang w:eastAsia="zh-CN"/>
        </w:rPr>
        <w:t xml:space="preserve">he latency performance for Type 1 </w:t>
      </w:r>
      <w:r w:rsidR="00321E11">
        <w:rPr>
          <w:rFonts w:eastAsiaTheme="minorEastAsia" w:cs="Arial"/>
          <w:sz w:val="22"/>
          <w:lang w:eastAsia="zh-CN"/>
        </w:rPr>
        <w:t xml:space="preserve">UE </w:t>
      </w:r>
      <w:r w:rsidR="00C04745" w:rsidRPr="00C04745">
        <w:rPr>
          <w:rFonts w:eastAsiaTheme="minorEastAsia" w:cs="Arial"/>
          <w:sz w:val="22"/>
          <w:lang w:eastAsia="zh-CN"/>
        </w:rPr>
        <w:t xml:space="preserve">is better than that for Type 2 </w:t>
      </w:r>
      <w:r w:rsidR="00321E11">
        <w:rPr>
          <w:rFonts w:eastAsiaTheme="minorEastAsia" w:cs="Arial"/>
          <w:sz w:val="22"/>
          <w:lang w:eastAsia="zh-CN"/>
        </w:rPr>
        <w:t>UE</w:t>
      </w:r>
      <w:r w:rsidR="006E051F">
        <w:rPr>
          <w:rFonts w:eastAsiaTheme="minorEastAsia" w:cs="Arial"/>
          <w:sz w:val="22"/>
          <w:lang w:eastAsia="zh-CN"/>
        </w:rPr>
        <w:t>.</w:t>
      </w:r>
      <w:r w:rsidR="006E051F" w:rsidRPr="00C04745">
        <w:rPr>
          <w:rFonts w:eastAsiaTheme="minorEastAsia" w:cs="Arial"/>
          <w:sz w:val="22"/>
          <w:lang w:eastAsia="zh-CN"/>
        </w:rPr>
        <w:t xml:space="preserve"> </w:t>
      </w:r>
      <w:r w:rsidR="006E051F">
        <w:rPr>
          <w:rFonts w:eastAsiaTheme="minorEastAsia" w:cs="Arial"/>
          <w:sz w:val="22"/>
          <w:lang w:eastAsia="zh-CN"/>
        </w:rPr>
        <w:t>T</w:t>
      </w:r>
      <w:r w:rsidR="006E051F" w:rsidRPr="00C04745">
        <w:rPr>
          <w:rFonts w:eastAsiaTheme="minorEastAsia" w:cs="Arial"/>
          <w:sz w:val="22"/>
          <w:lang w:eastAsia="zh-CN"/>
        </w:rPr>
        <w:t xml:space="preserve">he </w:t>
      </w:r>
      <w:r w:rsidR="00C04745" w:rsidRPr="00C04745">
        <w:rPr>
          <w:rFonts w:eastAsiaTheme="minorEastAsia" w:cs="Arial"/>
          <w:sz w:val="22"/>
          <w:lang w:eastAsia="zh-CN"/>
        </w:rPr>
        <w:t>difference can be up t</w:t>
      </w:r>
      <w:r w:rsidR="00C04745">
        <w:rPr>
          <w:rFonts w:eastAsiaTheme="minorEastAsia" w:cs="Arial"/>
          <w:sz w:val="22"/>
          <w:lang w:eastAsia="zh-CN"/>
        </w:rPr>
        <w:t xml:space="preserve">o 17.7% in FR1 and 15.2% in FR2. Besides, the </w:t>
      </w:r>
      <w:r w:rsidR="00C04745" w:rsidRPr="00C04745">
        <w:rPr>
          <w:rFonts w:eastAsiaTheme="minorEastAsia" w:cs="Arial"/>
          <w:sz w:val="22"/>
          <w:lang w:eastAsia="zh-CN"/>
        </w:rPr>
        <w:t xml:space="preserve">power saving gain for Type 2 </w:t>
      </w:r>
      <w:r w:rsidR="00321E11">
        <w:rPr>
          <w:rFonts w:eastAsiaTheme="minorEastAsia" w:cs="Arial"/>
          <w:sz w:val="22"/>
          <w:lang w:eastAsia="zh-CN"/>
        </w:rPr>
        <w:t xml:space="preserve">UE </w:t>
      </w:r>
      <w:r w:rsidR="00C04745" w:rsidRPr="00C04745">
        <w:rPr>
          <w:rFonts w:eastAsiaTheme="minorEastAsia" w:cs="Arial"/>
          <w:sz w:val="22"/>
          <w:lang w:eastAsia="zh-CN"/>
        </w:rPr>
        <w:t xml:space="preserve">is slightly better than that for Type 1 </w:t>
      </w:r>
      <w:r w:rsidR="00321E11">
        <w:rPr>
          <w:rFonts w:eastAsiaTheme="minorEastAsia" w:cs="Arial"/>
          <w:sz w:val="22"/>
          <w:lang w:eastAsia="zh-CN"/>
        </w:rPr>
        <w:t>UE</w:t>
      </w:r>
      <w:r w:rsidR="006E051F">
        <w:rPr>
          <w:rFonts w:eastAsiaTheme="minorEastAsia" w:cs="Arial"/>
          <w:sz w:val="22"/>
          <w:lang w:eastAsia="zh-CN"/>
        </w:rPr>
        <w:t>. T</w:t>
      </w:r>
      <w:r w:rsidR="00C04745" w:rsidRPr="00C04745">
        <w:rPr>
          <w:rFonts w:eastAsiaTheme="minorEastAsia" w:cs="Arial"/>
          <w:sz w:val="22"/>
          <w:lang w:eastAsia="zh-CN"/>
        </w:rPr>
        <w:t>he difference can be up to 2% in FR1 and up to 2.5% in FR2</w:t>
      </w:r>
      <w:r w:rsidRPr="008E6BEC">
        <w:rPr>
          <w:rFonts w:eastAsiaTheme="minorEastAsia" w:cs="Arial"/>
          <w:sz w:val="22"/>
          <w:lang w:eastAsia="zh-CN"/>
        </w:rPr>
        <w:t xml:space="preserve">. </w:t>
      </w:r>
    </w:p>
    <w:p w14:paraId="0B6B1FD4" w14:textId="2C6E50BB" w:rsidR="008E6BEC" w:rsidRPr="008E6BEC" w:rsidRDefault="008E6BEC" w:rsidP="008E6BEC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23800392"/>
      <w:bookmarkStart w:id="11" w:name="_Ref31836701"/>
      <w:r w:rsidRPr="008E6BEC">
        <w:rPr>
          <w:rFonts w:ascii="Arial" w:hAnsi="Arial" w:cs="Arial"/>
          <w:i/>
          <w:sz w:val="22"/>
          <w:szCs w:val="22"/>
        </w:rPr>
        <w:t xml:space="preserve">Observation </w:t>
      </w:r>
      <w:r w:rsidRPr="008E6BEC">
        <w:rPr>
          <w:rFonts w:ascii="Arial" w:hAnsi="Arial" w:cs="Arial"/>
          <w:i/>
          <w:sz w:val="22"/>
          <w:szCs w:val="22"/>
        </w:rPr>
        <w:fldChar w:fldCharType="begin"/>
      </w:r>
      <w:r w:rsidRPr="008E6BE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8E6BE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1</w:t>
      </w:r>
      <w:r w:rsidRPr="008E6BEC">
        <w:rPr>
          <w:rFonts w:ascii="Arial" w:hAnsi="Arial" w:cs="Arial"/>
          <w:i/>
          <w:sz w:val="22"/>
          <w:szCs w:val="22"/>
        </w:rPr>
        <w:fldChar w:fldCharType="end"/>
      </w:r>
      <w:r w:rsidRPr="008E6BEC">
        <w:rPr>
          <w:rFonts w:ascii="Arial" w:hAnsi="Arial" w:cs="Arial"/>
          <w:i/>
          <w:sz w:val="22"/>
          <w:szCs w:val="22"/>
        </w:rPr>
        <w:t xml:space="preserve">: </w:t>
      </w:r>
      <w:bookmarkEnd w:id="10"/>
      <w:r w:rsidR="00C04745" w:rsidRPr="00C04745">
        <w:rPr>
          <w:rFonts w:ascii="Arial" w:hAnsi="Arial" w:cs="Arial"/>
          <w:i/>
          <w:sz w:val="22"/>
          <w:szCs w:val="22"/>
        </w:rPr>
        <w:t xml:space="preserve">The latency performance for Type 1 </w:t>
      </w:r>
      <w:r w:rsidR="00321E11">
        <w:rPr>
          <w:rFonts w:ascii="Arial" w:hAnsi="Arial" w:cs="Arial"/>
          <w:i/>
          <w:sz w:val="22"/>
          <w:szCs w:val="22"/>
        </w:rPr>
        <w:t>UE</w:t>
      </w:r>
      <w:r w:rsidR="00C04745" w:rsidRPr="00C04745">
        <w:rPr>
          <w:rFonts w:ascii="Arial" w:hAnsi="Arial" w:cs="Arial"/>
          <w:i/>
          <w:sz w:val="22"/>
          <w:szCs w:val="22"/>
        </w:rPr>
        <w:t xml:space="preserve"> is better than that for Type 2 </w:t>
      </w:r>
      <w:r w:rsidR="00321E11">
        <w:rPr>
          <w:rFonts w:ascii="Arial" w:hAnsi="Arial" w:cs="Arial"/>
          <w:i/>
          <w:sz w:val="22"/>
          <w:szCs w:val="22"/>
        </w:rPr>
        <w:t>UE.</w:t>
      </w:r>
      <w:r w:rsidR="00321E11" w:rsidRPr="00C04745">
        <w:rPr>
          <w:rFonts w:ascii="Arial" w:hAnsi="Arial" w:cs="Arial"/>
          <w:i/>
          <w:sz w:val="22"/>
          <w:szCs w:val="22"/>
        </w:rPr>
        <w:t xml:space="preserve"> </w:t>
      </w:r>
      <w:r w:rsidR="00321E11">
        <w:rPr>
          <w:rFonts w:ascii="Arial" w:hAnsi="Arial" w:cs="Arial"/>
          <w:i/>
          <w:sz w:val="22"/>
          <w:szCs w:val="22"/>
        </w:rPr>
        <w:t>T</w:t>
      </w:r>
      <w:r w:rsidR="00321E11" w:rsidRPr="00C04745">
        <w:rPr>
          <w:rFonts w:ascii="Arial" w:hAnsi="Arial" w:cs="Arial"/>
          <w:i/>
          <w:sz w:val="22"/>
          <w:szCs w:val="22"/>
        </w:rPr>
        <w:t xml:space="preserve">he </w:t>
      </w:r>
      <w:r w:rsidR="00C04745" w:rsidRPr="00C04745">
        <w:rPr>
          <w:rFonts w:ascii="Arial" w:hAnsi="Arial" w:cs="Arial"/>
          <w:i/>
          <w:sz w:val="22"/>
          <w:szCs w:val="22"/>
        </w:rPr>
        <w:t>difference can be up to 17.7% in FR1 and 15.2% in FR2</w:t>
      </w:r>
      <w:r w:rsidR="007B71D0">
        <w:rPr>
          <w:rFonts w:ascii="Arial" w:hAnsi="Arial" w:cs="Arial"/>
          <w:i/>
          <w:sz w:val="22"/>
          <w:szCs w:val="22"/>
        </w:rPr>
        <w:t>.</w:t>
      </w:r>
      <w:bookmarkEnd w:id="11"/>
    </w:p>
    <w:p w14:paraId="27B0CBC1" w14:textId="6D153931" w:rsidR="008E6BEC" w:rsidRDefault="008E6BEC" w:rsidP="008E6BEC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23800398"/>
      <w:bookmarkStart w:id="13" w:name="_Ref31836705"/>
      <w:r w:rsidRPr="008E6BEC">
        <w:rPr>
          <w:rFonts w:ascii="Arial" w:hAnsi="Arial" w:cs="Arial"/>
          <w:i/>
          <w:sz w:val="22"/>
          <w:szCs w:val="22"/>
        </w:rPr>
        <w:t xml:space="preserve">Observation </w:t>
      </w:r>
      <w:r w:rsidRPr="008E6BEC">
        <w:rPr>
          <w:rFonts w:ascii="Arial" w:hAnsi="Arial" w:cs="Arial"/>
          <w:i/>
          <w:sz w:val="22"/>
          <w:szCs w:val="22"/>
        </w:rPr>
        <w:fldChar w:fldCharType="begin"/>
      </w:r>
      <w:r w:rsidRPr="008E6BE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8E6BE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2</w:t>
      </w:r>
      <w:r w:rsidRPr="008E6BEC">
        <w:rPr>
          <w:rFonts w:ascii="Arial" w:hAnsi="Arial" w:cs="Arial"/>
          <w:i/>
          <w:sz w:val="22"/>
          <w:szCs w:val="22"/>
        </w:rPr>
        <w:fldChar w:fldCharType="end"/>
      </w:r>
      <w:r w:rsidRPr="008E6BEC">
        <w:rPr>
          <w:rFonts w:ascii="Arial" w:hAnsi="Arial" w:cs="Arial"/>
          <w:i/>
          <w:sz w:val="22"/>
          <w:szCs w:val="22"/>
        </w:rPr>
        <w:t xml:space="preserve">: </w:t>
      </w:r>
      <w:bookmarkEnd w:id="12"/>
      <w:r w:rsidR="00C04745" w:rsidRPr="00C04745">
        <w:rPr>
          <w:rFonts w:ascii="Arial" w:hAnsi="Arial" w:cs="Arial"/>
          <w:i/>
          <w:sz w:val="22"/>
          <w:szCs w:val="22"/>
        </w:rPr>
        <w:t xml:space="preserve">The power saving gain for Type 2 </w:t>
      </w:r>
      <w:r w:rsidR="00321E11">
        <w:rPr>
          <w:rFonts w:ascii="Arial" w:hAnsi="Arial" w:cs="Arial"/>
          <w:i/>
          <w:sz w:val="22"/>
          <w:szCs w:val="22"/>
        </w:rPr>
        <w:t>UE</w:t>
      </w:r>
      <w:r w:rsidR="00C04745" w:rsidRPr="00C04745">
        <w:rPr>
          <w:rFonts w:ascii="Arial" w:hAnsi="Arial" w:cs="Arial"/>
          <w:i/>
          <w:sz w:val="22"/>
          <w:szCs w:val="22"/>
        </w:rPr>
        <w:t xml:space="preserve"> is slightly better than that for Type 1 </w:t>
      </w:r>
      <w:r w:rsidR="00321E11">
        <w:rPr>
          <w:rFonts w:ascii="Arial" w:hAnsi="Arial" w:cs="Arial"/>
          <w:i/>
          <w:sz w:val="22"/>
          <w:szCs w:val="22"/>
        </w:rPr>
        <w:t>UE.</w:t>
      </w:r>
      <w:r w:rsidR="00321E11" w:rsidRPr="00C04745">
        <w:rPr>
          <w:rFonts w:ascii="Arial" w:hAnsi="Arial" w:cs="Arial"/>
          <w:i/>
          <w:sz w:val="22"/>
          <w:szCs w:val="22"/>
        </w:rPr>
        <w:t xml:space="preserve"> </w:t>
      </w:r>
      <w:r w:rsidR="00321E11">
        <w:rPr>
          <w:rFonts w:ascii="Arial" w:hAnsi="Arial" w:cs="Arial"/>
          <w:i/>
          <w:sz w:val="22"/>
          <w:szCs w:val="22"/>
        </w:rPr>
        <w:t>T</w:t>
      </w:r>
      <w:r w:rsidR="00321E11" w:rsidRPr="00C04745">
        <w:rPr>
          <w:rFonts w:ascii="Arial" w:hAnsi="Arial" w:cs="Arial"/>
          <w:i/>
          <w:sz w:val="22"/>
          <w:szCs w:val="22"/>
        </w:rPr>
        <w:t xml:space="preserve">he </w:t>
      </w:r>
      <w:r w:rsidR="00C04745" w:rsidRPr="00C04745">
        <w:rPr>
          <w:rFonts w:ascii="Arial" w:hAnsi="Arial" w:cs="Arial"/>
          <w:i/>
          <w:sz w:val="22"/>
          <w:szCs w:val="22"/>
        </w:rPr>
        <w:t>difference can be up to 2% in FR1 and up to 2.5% in FR2</w:t>
      </w:r>
      <w:r w:rsidR="007B71D0">
        <w:rPr>
          <w:rFonts w:ascii="Arial" w:hAnsi="Arial" w:cs="Arial"/>
          <w:i/>
          <w:sz w:val="22"/>
          <w:szCs w:val="22"/>
        </w:rPr>
        <w:t>.</w:t>
      </w:r>
      <w:bookmarkEnd w:id="13"/>
    </w:p>
    <w:p w14:paraId="02E3182B" w14:textId="77777777" w:rsidR="008E6BEC" w:rsidRPr="0013617C" w:rsidRDefault="008E6BEC" w:rsidP="008E6BEC">
      <w:pPr>
        <w:rPr>
          <w:rFonts w:ascii="Arial" w:hAnsi="Arial" w:cs="Arial"/>
        </w:rPr>
      </w:pPr>
    </w:p>
    <w:p w14:paraId="38784CE1" w14:textId="50866427" w:rsidR="006C2331" w:rsidRPr="006C2331" w:rsidRDefault="00C04745" w:rsidP="002243AC">
      <w:pPr>
        <w:jc w:val="both"/>
        <w:rPr>
          <w:rFonts w:ascii="Arial" w:hAnsi="Arial" w:cs="Arial"/>
        </w:rPr>
      </w:pPr>
      <w:r w:rsidRPr="0013617C">
        <w:rPr>
          <w:rFonts w:ascii="Arial" w:hAnsi="Arial" w:cs="Arial"/>
        </w:rPr>
        <w:t>Above observation</w:t>
      </w:r>
      <w:r>
        <w:rPr>
          <w:rFonts w:ascii="Arial" w:hAnsi="Arial" w:cs="Arial"/>
        </w:rPr>
        <w:t>s</w:t>
      </w:r>
      <w:r w:rsidRPr="00B429B9">
        <w:rPr>
          <w:rFonts w:ascii="Arial" w:hAnsi="Arial" w:cs="Arial"/>
        </w:rPr>
        <w:t xml:space="preserve"> seem</w:t>
      </w:r>
      <w:r w:rsidRPr="0013617C">
        <w:rPr>
          <w:rFonts w:ascii="Arial" w:hAnsi="Arial" w:cs="Arial"/>
        </w:rPr>
        <w:t xml:space="preserve"> to reverse the conclusions we made in last meeting.</w:t>
      </w:r>
      <w:r>
        <w:rPr>
          <w:rFonts w:ascii="Arial" w:hAnsi="Arial" w:cs="Arial"/>
        </w:rPr>
        <w:t xml:space="preserve"> As we mentioned in the abstract, we </w:t>
      </w:r>
      <w:r w:rsidRPr="0013617C">
        <w:rPr>
          <w:rFonts w:ascii="Arial" w:hAnsi="Arial" w:cs="Arial"/>
        </w:rPr>
        <w:t>didn’t consider the slot-average power level during BWP transition time</w:t>
      </w:r>
      <w:r>
        <w:rPr>
          <w:rFonts w:ascii="Arial" w:hAnsi="Arial" w:cs="Arial"/>
        </w:rPr>
        <w:t xml:space="preserve"> in our previous paper</w:t>
      </w:r>
      <w:r w:rsidR="002243AC">
        <w:rPr>
          <w:rFonts w:ascii="Arial" w:hAnsi="Arial" w:cs="Arial"/>
        </w:rPr>
        <w:t xml:space="preserve"> </w:t>
      </w:r>
      <w:r w:rsidR="002243AC">
        <w:rPr>
          <w:rFonts w:ascii="Arial" w:hAnsi="Arial" w:cs="Arial"/>
        </w:rPr>
        <w:fldChar w:fldCharType="begin"/>
      </w:r>
      <w:r w:rsidR="002243AC">
        <w:rPr>
          <w:rFonts w:ascii="Arial" w:hAnsi="Arial" w:cs="Arial"/>
        </w:rPr>
        <w:instrText xml:space="preserve"> REF _Ref32230105 \n \h </w:instrText>
      </w:r>
      <w:r w:rsidR="002243AC">
        <w:rPr>
          <w:rFonts w:ascii="Arial" w:hAnsi="Arial" w:cs="Arial"/>
        </w:rPr>
      </w:r>
      <w:r w:rsidR="002243AC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</w:rPr>
        <w:t>[2]</w:t>
      </w:r>
      <w:r w:rsidR="002243AC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 If we take it into account, according to the TR</w:t>
      </w:r>
      <w:r w:rsidR="0013617C">
        <w:rPr>
          <w:rFonts w:ascii="Arial" w:hAnsi="Arial" w:cs="Arial"/>
        </w:rPr>
        <w:t>38.840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_Ref23800986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 w:rsidRPr="00C04745">
        <w:rPr>
          <w:rFonts w:ascii="Arial" w:hAnsi="Arial" w:cs="Arial"/>
        </w:rPr>
        <w:t>the slot-average power level is 50 power units</w:t>
      </w:r>
      <w:r>
        <w:rPr>
          <w:rFonts w:ascii="Arial" w:hAnsi="Arial" w:cs="Arial"/>
        </w:rPr>
        <w:t xml:space="preserve">. This means that the power level </w:t>
      </w:r>
      <w:r w:rsidRPr="00BD00D8">
        <w:rPr>
          <w:rFonts w:ascii="Arial" w:hAnsi="Arial" w:cs="Arial"/>
        </w:rPr>
        <w:t>during BWP transition time</w:t>
      </w:r>
      <w:r>
        <w:rPr>
          <w:rFonts w:ascii="Arial" w:hAnsi="Arial" w:cs="Arial"/>
        </w:rPr>
        <w:t xml:space="preserve"> is lower than the power level when UE enters the power saving mode and applies the </w:t>
      </w:r>
      <w:r w:rsidR="00B63D2C">
        <w:rPr>
          <w:rFonts w:ascii="Arial" w:hAnsi="Arial" w:cs="Arial"/>
        </w:rPr>
        <w:t xml:space="preserve">less </w:t>
      </w:r>
      <w:r>
        <w:rPr>
          <w:rFonts w:ascii="Arial" w:hAnsi="Arial" w:cs="Arial"/>
        </w:rPr>
        <w:t>MIMO layer</w:t>
      </w:r>
      <w:r w:rsidR="00B63D2C">
        <w:rPr>
          <w:rFonts w:ascii="Arial" w:hAnsi="Arial" w:cs="Arial"/>
        </w:rPr>
        <w:t>s, because of the scheduling restriction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_Ref31825976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C151DD" w:rsidRPr="00A5020A">
        <w:rPr>
          <w:rFonts w:ascii="Arial" w:hAnsi="Arial" w:cs="Arial"/>
        </w:rPr>
        <w:t xml:space="preserve">Figure </w:t>
      </w:r>
      <w:r w:rsidR="00C151DD"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illustrate</w:t>
      </w:r>
      <w:r w:rsidR="006C233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power level variations of Type 1 UE and Type 2 UE</w:t>
      </w:r>
      <w:r w:rsidR="006C2331">
        <w:rPr>
          <w:rFonts w:ascii="Arial" w:hAnsi="Arial" w:cs="Arial"/>
        </w:rPr>
        <w:t>. It is obvious that though the</w:t>
      </w:r>
      <w:r w:rsidR="006C2331" w:rsidRPr="006C2331">
        <w:rPr>
          <w:rFonts w:ascii="Arial" w:hAnsi="Arial" w:cs="Arial"/>
        </w:rPr>
        <w:t xml:space="preserve"> Type 2 UE </w:t>
      </w:r>
      <w:r w:rsidR="006C2331">
        <w:rPr>
          <w:rFonts w:ascii="Arial" w:hAnsi="Arial" w:cs="Arial"/>
        </w:rPr>
        <w:t>can achieve</w:t>
      </w:r>
      <w:r w:rsidR="006C2331" w:rsidRPr="006C2331">
        <w:rPr>
          <w:rFonts w:ascii="Arial" w:hAnsi="Arial" w:cs="Arial"/>
        </w:rPr>
        <w:t xml:space="preserve"> </w:t>
      </w:r>
      <w:r w:rsidR="006C2331">
        <w:rPr>
          <w:rFonts w:ascii="Arial" w:hAnsi="Arial" w:cs="Arial"/>
        </w:rPr>
        <w:t xml:space="preserve">the </w:t>
      </w:r>
      <w:r w:rsidR="005A76E4">
        <w:rPr>
          <w:rFonts w:ascii="Arial" w:hAnsi="Arial" w:cs="Arial"/>
        </w:rPr>
        <w:t>higher</w:t>
      </w:r>
      <w:r w:rsidR="005A76E4" w:rsidRPr="006C2331">
        <w:rPr>
          <w:rFonts w:ascii="Arial" w:hAnsi="Arial" w:cs="Arial"/>
        </w:rPr>
        <w:t xml:space="preserve"> </w:t>
      </w:r>
      <w:r w:rsidR="006C2331" w:rsidRPr="006C2331">
        <w:rPr>
          <w:rFonts w:ascii="Arial" w:hAnsi="Arial" w:cs="Arial"/>
        </w:rPr>
        <w:t xml:space="preserve">power saving </w:t>
      </w:r>
      <w:r w:rsidR="006C2331">
        <w:rPr>
          <w:rFonts w:ascii="Arial" w:hAnsi="Arial" w:cs="Arial"/>
        </w:rPr>
        <w:t>gain</w:t>
      </w:r>
      <w:r w:rsidR="006C2331" w:rsidRPr="006C2331">
        <w:rPr>
          <w:rFonts w:ascii="Arial" w:hAnsi="Arial" w:cs="Arial"/>
        </w:rPr>
        <w:t>, the long</w:t>
      </w:r>
      <w:r w:rsidR="006C2331">
        <w:rPr>
          <w:rFonts w:ascii="Arial" w:hAnsi="Arial" w:cs="Arial"/>
        </w:rPr>
        <w:t>er</w:t>
      </w:r>
      <w:r w:rsidR="006C2331" w:rsidRPr="006C2331">
        <w:rPr>
          <w:rFonts w:ascii="Arial" w:hAnsi="Arial" w:cs="Arial"/>
        </w:rPr>
        <w:t xml:space="preserve"> BWP transition duration </w:t>
      </w:r>
      <w:r w:rsidR="006C2331">
        <w:rPr>
          <w:rFonts w:ascii="Arial" w:hAnsi="Arial" w:cs="Arial"/>
        </w:rPr>
        <w:t>reduces</w:t>
      </w:r>
      <w:r w:rsidR="006C2331" w:rsidRPr="006C2331">
        <w:rPr>
          <w:rFonts w:ascii="Arial" w:hAnsi="Arial" w:cs="Arial"/>
        </w:rPr>
        <w:t xml:space="preserve"> the network scheduling flexibility.</w:t>
      </w:r>
    </w:p>
    <w:p w14:paraId="05E8CA70" w14:textId="3824D813" w:rsidR="00C04745" w:rsidRPr="0013617C" w:rsidRDefault="006C2331" w:rsidP="0013617C">
      <w:pPr>
        <w:pStyle w:val="Caption"/>
        <w:rPr>
          <w:rFonts w:ascii="Arial" w:hAnsi="Arial" w:cs="Arial"/>
          <w:i/>
          <w:sz w:val="22"/>
          <w:szCs w:val="22"/>
        </w:rPr>
      </w:pPr>
      <w:bookmarkStart w:id="14" w:name="_Ref31836540"/>
      <w:r w:rsidRPr="0013617C">
        <w:rPr>
          <w:rFonts w:ascii="Arial" w:hAnsi="Arial" w:cs="Arial"/>
          <w:i/>
          <w:sz w:val="22"/>
          <w:szCs w:val="22"/>
        </w:rPr>
        <w:lastRenderedPageBreak/>
        <w:t xml:space="preserve">Observation </w:t>
      </w:r>
      <w:r w:rsidRPr="0013617C">
        <w:rPr>
          <w:rFonts w:ascii="Arial" w:hAnsi="Arial" w:cs="Arial"/>
          <w:i/>
          <w:sz w:val="22"/>
          <w:szCs w:val="22"/>
        </w:rPr>
        <w:fldChar w:fldCharType="begin"/>
      </w:r>
      <w:r w:rsidRPr="0013617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13617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3</w:t>
      </w:r>
      <w:r w:rsidRPr="0013617C">
        <w:rPr>
          <w:rFonts w:ascii="Arial" w:hAnsi="Arial" w:cs="Arial"/>
          <w:i/>
          <w:sz w:val="22"/>
          <w:szCs w:val="22"/>
        </w:rPr>
        <w:fldChar w:fldCharType="end"/>
      </w:r>
      <w:r w:rsidRPr="0013617C">
        <w:rPr>
          <w:rFonts w:ascii="Arial" w:hAnsi="Arial" w:cs="Arial"/>
          <w:i/>
          <w:sz w:val="22"/>
          <w:szCs w:val="22"/>
        </w:rPr>
        <w:t xml:space="preserve">: </w:t>
      </w:r>
      <w:r w:rsidR="005A76E4">
        <w:rPr>
          <w:rFonts w:ascii="Arial" w:hAnsi="Arial" w:cs="Arial"/>
          <w:i/>
          <w:sz w:val="22"/>
          <w:szCs w:val="22"/>
        </w:rPr>
        <w:t>T</w:t>
      </w:r>
      <w:r>
        <w:rPr>
          <w:rFonts w:ascii="Arial" w:hAnsi="Arial" w:cs="Arial"/>
          <w:i/>
          <w:sz w:val="22"/>
          <w:szCs w:val="22"/>
        </w:rPr>
        <w:t>he</w:t>
      </w:r>
      <w:r w:rsidRPr="0013617C">
        <w:rPr>
          <w:rFonts w:ascii="Arial" w:hAnsi="Arial" w:cs="Arial"/>
          <w:i/>
          <w:sz w:val="22"/>
          <w:szCs w:val="22"/>
        </w:rPr>
        <w:t xml:space="preserve"> Type 2 UE </w:t>
      </w:r>
      <w:r>
        <w:rPr>
          <w:rFonts w:ascii="Arial" w:hAnsi="Arial" w:cs="Arial"/>
          <w:i/>
          <w:sz w:val="22"/>
          <w:szCs w:val="22"/>
        </w:rPr>
        <w:t>can achieve the</w:t>
      </w:r>
      <w:r w:rsidRPr="0013617C">
        <w:rPr>
          <w:rFonts w:ascii="Arial" w:hAnsi="Arial" w:cs="Arial"/>
          <w:i/>
          <w:sz w:val="22"/>
          <w:szCs w:val="22"/>
        </w:rPr>
        <w:t xml:space="preserve"> </w:t>
      </w:r>
      <w:r w:rsidR="005A76E4">
        <w:rPr>
          <w:rFonts w:ascii="Arial" w:hAnsi="Arial" w:cs="Arial"/>
          <w:i/>
          <w:sz w:val="22"/>
          <w:szCs w:val="22"/>
        </w:rPr>
        <w:t>higher</w:t>
      </w:r>
      <w:r w:rsidR="005A76E4" w:rsidRPr="0013617C">
        <w:rPr>
          <w:rFonts w:ascii="Arial" w:hAnsi="Arial" w:cs="Arial"/>
          <w:i/>
          <w:sz w:val="22"/>
          <w:szCs w:val="22"/>
        </w:rPr>
        <w:t xml:space="preserve"> </w:t>
      </w:r>
      <w:r w:rsidRPr="0013617C">
        <w:rPr>
          <w:rFonts w:ascii="Arial" w:hAnsi="Arial" w:cs="Arial"/>
          <w:i/>
          <w:sz w:val="22"/>
          <w:szCs w:val="22"/>
        </w:rPr>
        <w:t>power saving gain</w:t>
      </w:r>
      <w:r w:rsidR="005A76E4">
        <w:rPr>
          <w:rFonts w:ascii="Arial" w:hAnsi="Arial" w:cs="Arial"/>
          <w:i/>
          <w:sz w:val="22"/>
          <w:szCs w:val="22"/>
        </w:rPr>
        <w:t xml:space="preserve"> due to</w:t>
      </w:r>
      <w:r w:rsidR="005A76E4" w:rsidRPr="0013617C">
        <w:rPr>
          <w:rFonts w:ascii="Arial" w:hAnsi="Arial" w:cs="Arial"/>
          <w:i/>
          <w:sz w:val="22"/>
          <w:szCs w:val="22"/>
        </w:rPr>
        <w:t xml:space="preserve"> </w:t>
      </w:r>
      <w:r w:rsidRPr="0013617C">
        <w:rPr>
          <w:rFonts w:ascii="Arial" w:hAnsi="Arial" w:cs="Arial"/>
          <w:i/>
          <w:sz w:val="22"/>
          <w:szCs w:val="22"/>
        </w:rPr>
        <w:t xml:space="preserve">longer </w:t>
      </w:r>
      <w:r w:rsidR="005A76E4">
        <w:rPr>
          <w:rFonts w:ascii="Arial" w:hAnsi="Arial" w:cs="Arial"/>
          <w:i/>
          <w:sz w:val="22"/>
          <w:szCs w:val="22"/>
        </w:rPr>
        <w:t xml:space="preserve">period with scheduling restriction, which however </w:t>
      </w:r>
      <w:r w:rsidRPr="0013617C">
        <w:rPr>
          <w:rFonts w:ascii="Arial" w:hAnsi="Arial" w:cs="Arial"/>
          <w:i/>
          <w:sz w:val="22"/>
          <w:szCs w:val="22"/>
        </w:rPr>
        <w:t>reduces the network scheduling flexibility</w:t>
      </w:r>
      <w:r w:rsidR="007B71D0">
        <w:rPr>
          <w:rFonts w:ascii="Arial" w:hAnsi="Arial" w:cs="Arial"/>
          <w:i/>
          <w:sz w:val="22"/>
          <w:szCs w:val="22"/>
        </w:rPr>
        <w:t>.</w:t>
      </w:r>
      <w:bookmarkEnd w:id="14"/>
    </w:p>
    <w:p w14:paraId="2A0967FD" w14:textId="77777777" w:rsidR="00C04745" w:rsidRDefault="00C04745" w:rsidP="008E6BEC">
      <w:pPr>
        <w:rPr>
          <w:rFonts w:ascii="Arial" w:hAnsi="Arial" w:cs="Arial"/>
        </w:rPr>
      </w:pPr>
    </w:p>
    <w:p w14:paraId="45E71D84" w14:textId="4BDE12F1" w:rsidR="00C04745" w:rsidRDefault="00C04745" w:rsidP="0013617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C3ABF64" wp14:editId="74EE1090">
            <wp:extent cx="4766310" cy="26344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410" cy="2637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10F79" w14:textId="5FD2A03D" w:rsidR="00C04745" w:rsidRPr="008B5AB1" w:rsidRDefault="00C04745" w:rsidP="00C04745">
      <w:pPr>
        <w:pStyle w:val="Caption"/>
        <w:jc w:val="center"/>
        <w:rPr>
          <w:rFonts w:ascii="Arial" w:hAnsi="Arial" w:cs="Arial"/>
        </w:rPr>
      </w:pPr>
      <w:bookmarkStart w:id="15" w:name="_Ref31825976"/>
      <w:r w:rsidRPr="00A5020A">
        <w:rPr>
          <w:rFonts w:ascii="Arial" w:hAnsi="Arial" w:cs="Arial"/>
        </w:rPr>
        <w:t xml:space="preserve">Figure </w:t>
      </w:r>
      <w:r w:rsidRPr="007B2BC4">
        <w:rPr>
          <w:rFonts w:ascii="Arial" w:hAnsi="Arial" w:cs="Arial"/>
        </w:rPr>
        <w:fldChar w:fldCharType="begin"/>
      </w:r>
      <w:r w:rsidRPr="007B2BC4">
        <w:rPr>
          <w:rFonts w:ascii="Arial" w:hAnsi="Arial" w:cs="Arial"/>
        </w:rPr>
        <w:instrText xml:space="preserve"> SEQ Figure \* ARABIC </w:instrText>
      </w:r>
      <w:r w:rsidRPr="007B2BC4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1</w:t>
      </w:r>
      <w:r w:rsidRPr="007B2BC4">
        <w:rPr>
          <w:rFonts w:ascii="Arial" w:hAnsi="Arial" w:cs="Arial"/>
        </w:rPr>
        <w:fldChar w:fldCharType="end"/>
      </w:r>
      <w:bookmarkEnd w:id="15"/>
      <w:r w:rsidRPr="007B2BC4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Power level variations of Typ1 UE and Type 2 UE</w:t>
      </w:r>
    </w:p>
    <w:p w14:paraId="4E6436AB" w14:textId="77777777" w:rsidR="00C04745" w:rsidRPr="0013617C" w:rsidRDefault="00C04745" w:rsidP="008E6BEC">
      <w:pPr>
        <w:rPr>
          <w:rFonts w:ascii="Arial" w:hAnsi="Arial" w:cs="Arial"/>
        </w:rPr>
      </w:pPr>
    </w:p>
    <w:p w14:paraId="013C36BA" w14:textId="6A11049B" w:rsidR="00ED0788" w:rsidRDefault="008E6BE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8E6BEC">
        <w:rPr>
          <w:rFonts w:eastAsiaTheme="minorEastAsia" w:cs="Arial"/>
          <w:sz w:val="22"/>
          <w:lang w:eastAsia="zh-CN"/>
        </w:rPr>
        <w:t>As we know, t</w:t>
      </w:r>
      <w:r>
        <w:rPr>
          <w:rFonts w:eastAsiaTheme="minorEastAsia" w:cs="Arial"/>
          <w:sz w:val="22"/>
          <w:lang w:eastAsia="zh-CN"/>
        </w:rPr>
        <w:t xml:space="preserve">he long latency may </w:t>
      </w:r>
      <w:r w:rsidR="00ED0788" w:rsidRPr="008E6BEC">
        <w:rPr>
          <w:rFonts w:eastAsiaTheme="minorEastAsia" w:cs="Arial"/>
          <w:sz w:val="22"/>
          <w:lang w:eastAsia="zh-CN"/>
        </w:rPr>
        <w:t>impact the performance of some real time services, e.g., gaming or live video services</w:t>
      </w:r>
      <w:r w:rsidR="0013617C">
        <w:rPr>
          <w:rFonts w:eastAsiaTheme="minorEastAsia" w:cs="Arial"/>
          <w:sz w:val="22"/>
          <w:lang w:eastAsia="zh-CN"/>
        </w:rPr>
        <w:t>, and</w:t>
      </w:r>
      <w:r w:rsidR="00391D2C">
        <w:rPr>
          <w:rFonts w:eastAsiaTheme="minorEastAsia" w:cs="Arial"/>
          <w:sz w:val="22"/>
          <w:lang w:eastAsia="zh-CN"/>
        </w:rPr>
        <w:t xml:space="preserve"> the low scheduling opportunities make the Network deployment even more difficult. </w:t>
      </w:r>
      <w:r w:rsidRPr="008E6BEC">
        <w:rPr>
          <w:rFonts w:eastAsiaTheme="minorEastAsia" w:cs="Arial"/>
          <w:sz w:val="22"/>
          <w:lang w:eastAsia="zh-CN"/>
        </w:rPr>
        <w:t>So we suggest that</w:t>
      </w:r>
    </w:p>
    <w:p w14:paraId="7E0C2CED" w14:textId="369266F1" w:rsidR="00ED0788" w:rsidRDefault="008E6BEC" w:rsidP="00345FDB">
      <w:pPr>
        <w:pStyle w:val="Caption"/>
        <w:rPr>
          <w:rFonts w:eastAsiaTheme="minorEastAsia" w:cs="Arial"/>
          <w:sz w:val="22"/>
        </w:rPr>
      </w:pPr>
      <w:bookmarkStart w:id="16" w:name="_Ref23800481"/>
      <w:r w:rsidRPr="000E5C1C">
        <w:rPr>
          <w:rFonts w:ascii="Arial" w:hAnsi="Arial" w:cs="Arial"/>
          <w:i/>
          <w:sz w:val="22"/>
          <w:szCs w:val="22"/>
        </w:rPr>
        <w:t xml:space="preserve">Proposal </w:t>
      </w:r>
      <w:r w:rsidRPr="000E5C1C">
        <w:rPr>
          <w:rFonts w:ascii="Arial" w:hAnsi="Arial" w:cs="Arial"/>
          <w:i/>
          <w:sz w:val="22"/>
          <w:szCs w:val="22"/>
        </w:rPr>
        <w:fldChar w:fldCharType="begin"/>
      </w:r>
      <w:r w:rsidRPr="000E5C1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0E5C1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1</w:t>
      </w:r>
      <w:r w:rsidRPr="000E5C1C">
        <w:rPr>
          <w:rFonts w:ascii="Arial" w:hAnsi="Arial" w:cs="Arial"/>
          <w:i/>
          <w:sz w:val="22"/>
          <w:szCs w:val="22"/>
        </w:rPr>
        <w:fldChar w:fldCharType="end"/>
      </w:r>
      <w:r w:rsidRPr="000E5C1C">
        <w:rPr>
          <w:rFonts w:ascii="Arial" w:hAnsi="Arial" w:cs="Arial"/>
          <w:i/>
          <w:sz w:val="22"/>
          <w:szCs w:val="22"/>
        </w:rPr>
        <w:t xml:space="preserve">: </w:t>
      </w:r>
      <w:r w:rsidR="000E5C1C">
        <w:rPr>
          <w:rFonts w:ascii="Arial" w:hAnsi="Arial" w:cs="Arial"/>
          <w:i/>
          <w:sz w:val="22"/>
          <w:szCs w:val="22"/>
        </w:rPr>
        <w:t xml:space="preserve">In Rel-16, </w:t>
      </w:r>
      <w:r w:rsidR="000E5C1C" w:rsidRPr="000E5C1C">
        <w:rPr>
          <w:rFonts w:ascii="Arial" w:hAnsi="Arial" w:cs="Arial"/>
          <w:i/>
          <w:sz w:val="22"/>
          <w:szCs w:val="22"/>
        </w:rPr>
        <w:t>Type 1 switching delay should be supported.</w:t>
      </w:r>
      <w:bookmarkEnd w:id="16"/>
    </w:p>
    <w:p w14:paraId="34246924" w14:textId="77777777" w:rsidR="00ED0788" w:rsidRPr="00D23147" w:rsidRDefault="00ED0788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62BA15CC" w14:textId="2AA9587A" w:rsidR="00B0627C" w:rsidRDefault="001965A3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B0627C"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 xml:space="preserve">Evaluation results </w:t>
      </w:r>
      <w:r w:rsidR="00391D2C">
        <w:rPr>
          <w:rFonts w:cs="Arial"/>
          <w:color w:val="000000" w:themeColor="text1"/>
        </w:rPr>
        <w:t>consider multiple power saving features</w:t>
      </w:r>
      <w:r w:rsidRPr="001965A3">
        <w:rPr>
          <w:rFonts w:cs="Arial"/>
          <w:color w:val="000000" w:themeColor="text1"/>
        </w:rPr>
        <w:t xml:space="preserve"> </w:t>
      </w:r>
    </w:p>
    <w:p w14:paraId="50CAAF01" w14:textId="78821E4D" w:rsidR="0009245A" w:rsidRDefault="004E5208" w:rsidP="00DE59CD">
      <w:pPr>
        <w:jc w:val="both"/>
        <w:rPr>
          <w:rFonts w:ascii="Arial" w:hAnsi="Arial" w:cs="Arial"/>
          <w:lang w:val="en-GB"/>
        </w:rPr>
      </w:pPr>
      <w:r w:rsidRPr="004E5208">
        <w:rPr>
          <w:rFonts w:ascii="Arial" w:hAnsi="Arial" w:cs="Arial"/>
          <w:lang w:val="en-GB"/>
        </w:rPr>
        <w:t xml:space="preserve">As we know, </w:t>
      </w:r>
      <w:r w:rsidR="00731CD8">
        <w:rPr>
          <w:rFonts w:ascii="Arial" w:hAnsi="Arial" w:cs="Arial"/>
          <w:lang w:val="en-GB"/>
        </w:rPr>
        <w:t>in Rel-16</w:t>
      </w:r>
      <w:r w:rsidR="0013617C">
        <w:rPr>
          <w:rFonts w:ascii="Arial" w:hAnsi="Arial" w:cs="Arial"/>
          <w:lang w:val="en-GB"/>
        </w:rPr>
        <w:t>,</w:t>
      </w:r>
      <w:r w:rsidR="00731CD8">
        <w:rPr>
          <w:rFonts w:ascii="Arial" w:hAnsi="Arial" w:cs="Arial"/>
          <w:lang w:val="en-GB"/>
        </w:rPr>
        <w:t xml:space="preserve"> there exist some other power saving </w:t>
      </w:r>
      <w:r w:rsidR="00304725">
        <w:rPr>
          <w:rFonts w:ascii="Arial" w:hAnsi="Arial" w:cs="Arial"/>
          <w:lang w:val="en-GB"/>
        </w:rPr>
        <w:t xml:space="preserve">related </w:t>
      </w:r>
      <w:r w:rsidR="00731CD8">
        <w:rPr>
          <w:rFonts w:ascii="Arial" w:hAnsi="Arial" w:cs="Arial"/>
          <w:lang w:val="en-GB"/>
        </w:rPr>
        <w:t>features for Network to configure. However, so far there is no r</w:t>
      </w:r>
      <w:r w:rsidRPr="004E5208">
        <w:rPr>
          <w:rFonts w:ascii="Arial" w:hAnsi="Arial" w:cs="Arial"/>
          <w:lang w:val="en-GB"/>
        </w:rPr>
        <w:t xml:space="preserve">elevant SI or WI </w:t>
      </w:r>
      <w:r w:rsidR="00731CD8">
        <w:rPr>
          <w:rFonts w:ascii="Arial" w:hAnsi="Arial" w:cs="Arial"/>
          <w:lang w:val="en-GB"/>
        </w:rPr>
        <w:t xml:space="preserve">allocated for companies </w:t>
      </w:r>
      <w:r w:rsidRPr="004E5208">
        <w:rPr>
          <w:rFonts w:ascii="Arial" w:hAnsi="Arial" w:cs="Arial"/>
          <w:lang w:val="en-GB"/>
        </w:rPr>
        <w:t xml:space="preserve">to discuss the overall </w:t>
      </w:r>
      <w:r w:rsidR="00731CD8">
        <w:rPr>
          <w:rFonts w:ascii="Arial" w:hAnsi="Arial" w:cs="Arial"/>
          <w:lang w:val="en-GB"/>
        </w:rPr>
        <w:t xml:space="preserve">impact. Therefore, in this section we would like to provide some </w:t>
      </w:r>
      <w:r w:rsidR="00731CD8" w:rsidRPr="0013617C">
        <w:rPr>
          <w:rFonts w:ascii="Arial" w:hAnsi="Arial" w:cs="Arial"/>
        </w:rPr>
        <w:t xml:space="preserve">evaluation results that jointly consider the </w:t>
      </w:r>
      <w:r w:rsidRPr="0013617C">
        <w:rPr>
          <w:rFonts w:ascii="Arial" w:hAnsi="Arial" w:cs="Arial"/>
        </w:rPr>
        <w:t xml:space="preserve">MIMO layer adaptation, cross-slot scheduling and SCell dormancy </w:t>
      </w:r>
      <w:r w:rsidR="0009245A" w:rsidRPr="0013617C">
        <w:rPr>
          <w:rFonts w:ascii="Arial" w:hAnsi="Arial" w:cs="Arial"/>
        </w:rPr>
        <w:t>behavio</w:t>
      </w:r>
      <w:r w:rsidR="0013617C" w:rsidRPr="0013617C">
        <w:rPr>
          <w:rFonts w:ascii="Arial" w:hAnsi="Arial" w:cs="Arial"/>
        </w:rPr>
        <w:t>u</w:t>
      </w:r>
      <w:r w:rsidR="0009245A" w:rsidRPr="0013617C">
        <w:rPr>
          <w:rFonts w:ascii="Arial" w:hAnsi="Arial" w:cs="Arial"/>
        </w:rPr>
        <w:t>r.</w:t>
      </w:r>
    </w:p>
    <w:p w14:paraId="09FA14D2" w14:textId="36B02C09" w:rsidR="004E5208" w:rsidRPr="0013617C" w:rsidRDefault="00A17469" w:rsidP="001361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cs="Arial"/>
        </w:rPr>
      </w:pPr>
      <w:r>
        <w:rPr>
          <w:rFonts w:eastAsiaTheme="minorEastAsia" w:cs="Arial"/>
          <w:sz w:val="22"/>
          <w:lang w:eastAsia="zh-CN"/>
        </w:rPr>
        <w:lastRenderedPageBreak/>
        <w:t xml:space="preserve">In FR1, assuming that only 1 CC is in use and both MIMO layer adaptation and cross-slot scheduling are applied, the evaluation results of 15kHz and 30kHz SCSs are shown in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_Ref31833317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151DD" w:rsidRPr="0013617C">
        <w:rPr>
          <w:rFonts w:cs="Arial"/>
        </w:rPr>
        <w:t xml:space="preserve">Table </w:t>
      </w:r>
      <w:r w:rsidR="00C151DD">
        <w:rPr>
          <w:rFonts w:cs="Arial"/>
          <w:noProof/>
        </w:rPr>
        <w:t>4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 and </w:t>
      </w:r>
      <w:r>
        <w:rPr>
          <w:rFonts w:eastAsiaTheme="minorEastAsia" w:cs="Arial"/>
          <w:sz w:val="22"/>
          <w:lang w:eastAsia="zh-CN"/>
        </w:rPr>
        <w:fldChar w:fldCharType="begin"/>
      </w:r>
      <w:r>
        <w:rPr>
          <w:rFonts w:eastAsiaTheme="minorEastAsia" w:cs="Arial"/>
          <w:sz w:val="22"/>
          <w:lang w:eastAsia="zh-CN"/>
        </w:rPr>
        <w:instrText xml:space="preserve"> REF _Ref31833325 \h </w:instrText>
      </w:r>
      <w:r>
        <w:rPr>
          <w:rFonts w:eastAsiaTheme="minorEastAsia" w:cs="Arial"/>
          <w:sz w:val="22"/>
          <w:lang w:eastAsia="zh-CN"/>
        </w:rPr>
      </w:r>
      <w:r>
        <w:rPr>
          <w:rFonts w:eastAsiaTheme="minorEastAsia" w:cs="Arial"/>
          <w:sz w:val="22"/>
          <w:lang w:eastAsia="zh-CN"/>
        </w:rPr>
        <w:fldChar w:fldCharType="separate"/>
      </w:r>
      <w:r w:rsidR="00C151DD" w:rsidRPr="0013617C">
        <w:rPr>
          <w:rFonts w:cs="Arial"/>
        </w:rPr>
        <w:t xml:space="preserve">Table </w:t>
      </w:r>
      <w:r w:rsidR="00C151DD">
        <w:rPr>
          <w:rFonts w:cs="Arial"/>
          <w:noProof/>
        </w:rPr>
        <w:t>5</w:t>
      </w:r>
      <w:r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, respectively. </w:t>
      </w:r>
    </w:p>
    <w:p w14:paraId="10D7389D" w14:textId="1075680E" w:rsidR="000C5BCD" w:rsidRDefault="000C5BCD" w:rsidP="00B429B9">
      <w:pPr>
        <w:pStyle w:val="Caption"/>
        <w:jc w:val="center"/>
        <w:rPr>
          <w:rFonts w:ascii="Arial" w:hAnsi="Arial" w:cs="Arial"/>
        </w:rPr>
      </w:pPr>
      <w:bookmarkStart w:id="17" w:name="_Ref31833317"/>
      <w:bookmarkStart w:id="18" w:name="_Ref525844622"/>
      <w:r w:rsidRPr="0013617C">
        <w:rPr>
          <w:rFonts w:ascii="Arial" w:hAnsi="Arial" w:cs="Arial"/>
        </w:rPr>
        <w:t xml:space="preserve">Table </w:t>
      </w:r>
      <w:r w:rsidRPr="0013617C">
        <w:rPr>
          <w:rFonts w:ascii="Arial" w:hAnsi="Arial" w:cs="Arial"/>
        </w:rPr>
        <w:fldChar w:fldCharType="begin"/>
      </w:r>
      <w:r w:rsidRPr="0013617C">
        <w:rPr>
          <w:rFonts w:ascii="Arial" w:hAnsi="Arial" w:cs="Arial"/>
        </w:rPr>
        <w:instrText xml:space="preserve"> SEQ Table \* ARABIC </w:instrText>
      </w:r>
      <w:r w:rsidRPr="0013617C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4</w:t>
      </w:r>
      <w:r w:rsidRPr="0013617C">
        <w:rPr>
          <w:rFonts w:ascii="Arial" w:hAnsi="Arial" w:cs="Arial"/>
        </w:rPr>
        <w:fldChar w:fldCharType="end"/>
      </w:r>
      <w:bookmarkEnd w:id="17"/>
      <w:r w:rsidRPr="0013617C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15kHz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10"/>
        <w:gridCol w:w="1365"/>
        <w:gridCol w:w="970"/>
        <w:gridCol w:w="1157"/>
        <w:gridCol w:w="947"/>
        <w:gridCol w:w="1134"/>
        <w:gridCol w:w="1389"/>
        <w:gridCol w:w="1157"/>
      </w:tblGrid>
      <w:tr w:rsidR="002F7701" w14:paraId="711BE03B" w14:textId="77777777" w:rsidTr="00CA1BBD">
        <w:trPr>
          <w:trHeight w:val="20"/>
        </w:trPr>
        <w:tc>
          <w:tcPr>
            <w:tcW w:w="2875" w:type="dxa"/>
            <w:gridSpan w:val="2"/>
            <w:vAlign w:val="center"/>
          </w:tcPr>
          <w:p w14:paraId="0FCB63FA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# of UEs/Cell = 10,</w:t>
            </w:r>
          </w:p>
          <w:p w14:paraId="08C71D2E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BWP timer = 3ms</w:t>
            </w:r>
          </w:p>
          <w:p w14:paraId="59B71965" w14:textId="54C7865B" w:rsidR="002F7701" w:rsidRDefault="002F7701" w:rsidP="00CA1BBD">
            <w:pPr>
              <w:spacing w:after="0"/>
            </w:pPr>
            <w:r w:rsidRPr="00BD00D8">
              <w:rPr>
                <w:b/>
                <w:sz w:val="20"/>
                <w:szCs w:val="20"/>
              </w:rPr>
              <w:t>Type-1: 1 slots, Type-2: 3 slots</w:t>
            </w:r>
            <w:r>
              <w:rPr>
                <w:b/>
                <w:sz w:val="20"/>
                <w:szCs w:val="20"/>
              </w:rPr>
              <w:br/>
            </w:r>
            <w:r w:rsidRPr="0013617C">
              <w:rPr>
                <w:b/>
                <w:sz w:val="20"/>
                <w:szCs w:val="20"/>
              </w:rPr>
              <w:t>w. cross-slot scheduling</w:t>
            </w:r>
          </w:p>
        </w:tc>
        <w:tc>
          <w:tcPr>
            <w:tcW w:w="970" w:type="dxa"/>
            <w:vAlign w:val="center"/>
          </w:tcPr>
          <w:p w14:paraId="60560D8F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605306EE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6C3DCC73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19D93883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389" w:type="dxa"/>
            <w:vAlign w:val="center"/>
          </w:tcPr>
          <w:p w14:paraId="3D59C03F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57" w:type="dxa"/>
            <w:vAlign w:val="center"/>
          </w:tcPr>
          <w:p w14:paraId="373115BE" w14:textId="77777777" w:rsidR="002F7701" w:rsidRPr="00ED0788" w:rsidRDefault="002F7701" w:rsidP="00CA1BBD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2F7701" w14:paraId="63DB5B07" w14:textId="77777777" w:rsidTr="00CA1BBD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557618D7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365" w:type="dxa"/>
            <w:vAlign w:val="center"/>
          </w:tcPr>
          <w:p w14:paraId="2EA3CF0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5D4A91C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27.78</w:t>
            </w:r>
          </w:p>
        </w:tc>
        <w:tc>
          <w:tcPr>
            <w:tcW w:w="1157" w:type="dxa"/>
            <w:vAlign w:val="center"/>
          </w:tcPr>
          <w:p w14:paraId="10C7E67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FE08B1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67.76</w:t>
            </w:r>
          </w:p>
        </w:tc>
        <w:tc>
          <w:tcPr>
            <w:tcW w:w="1134" w:type="dxa"/>
            <w:vAlign w:val="center"/>
          </w:tcPr>
          <w:p w14:paraId="4445C05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2F167A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44.92</w:t>
            </w:r>
          </w:p>
        </w:tc>
        <w:tc>
          <w:tcPr>
            <w:tcW w:w="1157" w:type="dxa"/>
            <w:vAlign w:val="center"/>
          </w:tcPr>
          <w:p w14:paraId="42236B6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145AD2F0" w14:textId="77777777" w:rsidTr="00CA1BBD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713FFFDF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F47F02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45D579A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27.82</w:t>
            </w:r>
          </w:p>
        </w:tc>
        <w:tc>
          <w:tcPr>
            <w:tcW w:w="1157" w:type="dxa"/>
            <w:vAlign w:val="center"/>
          </w:tcPr>
          <w:p w14:paraId="29A932A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0.14%</w:t>
            </w:r>
          </w:p>
        </w:tc>
        <w:tc>
          <w:tcPr>
            <w:tcW w:w="947" w:type="dxa"/>
            <w:vAlign w:val="center"/>
          </w:tcPr>
          <w:p w14:paraId="5B08AD25" w14:textId="6792378F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68.99</w:t>
            </w:r>
          </w:p>
        </w:tc>
        <w:tc>
          <w:tcPr>
            <w:tcW w:w="1134" w:type="dxa"/>
            <w:vAlign w:val="center"/>
          </w:tcPr>
          <w:p w14:paraId="614AAA37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1.82%</w:t>
            </w:r>
          </w:p>
          <w:p w14:paraId="76E75009" w14:textId="5BD5E271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2F6632E" w14:textId="176087C0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31.90</w:t>
            </w:r>
          </w:p>
        </w:tc>
        <w:tc>
          <w:tcPr>
            <w:tcW w:w="1157" w:type="dxa"/>
            <w:vAlign w:val="center"/>
          </w:tcPr>
          <w:p w14:paraId="6147A391" w14:textId="145BFC44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28.98%</w:t>
            </w:r>
          </w:p>
        </w:tc>
      </w:tr>
      <w:tr w:rsidR="002F7701" w14:paraId="2AF90724" w14:textId="77777777" w:rsidTr="00CA1BBD">
        <w:trPr>
          <w:cantSplit/>
          <w:trHeight w:val="20"/>
        </w:trPr>
        <w:tc>
          <w:tcPr>
            <w:tcW w:w="1510" w:type="dxa"/>
            <w:vMerge/>
            <w:textDirection w:val="btLr"/>
            <w:vAlign w:val="center"/>
          </w:tcPr>
          <w:p w14:paraId="7B5AEBD2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A15BEB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5F41594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27.49</w:t>
            </w:r>
          </w:p>
        </w:tc>
        <w:tc>
          <w:tcPr>
            <w:tcW w:w="1157" w:type="dxa"/>
            <w:vAlign w:val="center"/>
          </w:tcPr>
          <w:p w14:paraId="6909DAF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-1.04%</w:t>
            </w:r>
          </w:p>
        </w:tc>
        <w:tc>
          <w:tcPr>
            <w:tcW w:w="947" w:type="dxa"/>
            <w:vAlign w:val="center"/>
          </w:tcPr>
          <w:p w14:paraId="3A232DF2" w14:textId="375CDD32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71.64</w:t>
            </w:r>
          </w:p>
        </w:tc>
        <w:tc>
          <w:tcPr>
            <w:tcW w:w="1134" w:type="dxa"/>
            <w:vAlign w:val="center"/>
          </w:tcPr>
          <w:p w14:paraId="3A2AA23E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5.73%</w:t>
            </w:r>
          </w:p>
          <w:p w14:paraId="72A6776D" w14:textId="60799633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77407A9E" w14:textId="4496518E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31.84</w:t>
            </w:r>
          </w:p>
        </w:tc>
        <w:tc>
          <w:tcPr>
            <w:tcW w:w="1157" w:type="dxa"/>
            <w:vAlign w:val="center"/>
          </w:tcPr>
          <w:p w14:paraId="7FAD007F" w14:textId="60E8C891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29.12%</w:t>
            </w:r>
          </w:p>
        </w:tc>
      </w:tr>
      <w:tr w:rsidR="002F7701" w14:paraId="25AE7042" w14:textId="77777777" w:rsidTr="00CA1BBD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2E93C56C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760995C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68C4C3F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27.72</w:t>
            </w:r>
          </w:p>
        </w:tc>
        <w:tc>
          <w:tcPr>
            <w:tcW w:w="1157" w:type="dxa"/>
            <w:vAlign w:val="center"/>
          </w:tcPr>
          <w:p w14:paraId="5F9DF91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4A6A1A4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33.12</w:t>
            </w:r>
          </w:p>
        </w:tc>
        <w:tc>
          <w:tcPr>
            <w:tcW w:w="1134" w:type="dxa"/>
            <w:vAlign w:val="center"/>
          </w:tcPr>
          <w:p w14:paraId="637F331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1D6F72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49.68</w:t>
            </w:r>
          </w:p>
        </w:tc>
        <w:tc>
          <w:tcPr>
            <w:tcW w:w="1157" w:type="dxa"/>
            <w:vAlign w:val="center"/>
          </w:tcPr>
          <w:p w14:paraId="4ED392A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45F1C2C3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3015480E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B79FDC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52099A1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27.91</w:t>
            </w:r>
          </w:p>
        </w:tc>
        <w:tc>
          <w:tcPr>
            <w:tcW w:w="1157" w:type="dxa"/>
            <w:vAlign w:val="center"/>
          </w:tcPr>
          <w:p w14:paraId="5568C27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0.69%</w:t>
            </w:r>
          </w:p>
        </w:tc>
        <w:tc>
          <w:tcPr>
            <w:tcW w:w="947" w:type="dxa"/>
            <w:vAlign w:val="center"/>
          </w:tcPr>
          <w:p w14:paraId="2EFA0B5B" w14:textId="3383FAA5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34.81</w:t>
            </w:r>
          </w:p>
        </w:tc>
        <w:tc>
          <w:tcPr>
            <w:tcW w:w="1134" w:type="dxa"/>
            <w:vAlign w:val="center"/>
          </w:tcPr>
          <w:p w14:paraId="7CE72BFE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5.10%</w:t>
            </w:r>
          </w:p>
          <w:p w14:paraId="499262A6" w14:textId="7A9EAE0A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0FDF43D0" w14:textId="309B85D2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36.74</w:t>
            </w:r>
          </w:p>
        </w:tc>
        <w:tc>
          <w:tcPr>
            <w:tcW w:w="1157" w:type="dxa"/>
            <w:vAlign w:val="center"/>
          </w:tcPr>
          <w:p w14:paraId="03393D4F" w14:textId="1EC5957C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26.06%</w:t>
            </w:r>
          </w:p>
        </w:tc>
      </w:tr>
      <w:tr w:rsidR="002F7701" w14:paraId="17970BEE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66C97C1F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AAB947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036B85F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27.74</w:t>
            </w:r>
          </w:p>
        </w:tc>
        <w:tc>
          <w:tcPr>
            <w:tcW w:w="1157" w:type="dxa"/>
            <w:vAlign w:val="center"/>
          </w:tcPr>
          <w:p w14:paraId="4EFEAA9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0.07%</w:t>
            </w:r>
          </w:p>
        </w:tc>
        <w:tc>
          <w:tcPr>
            <w:tcW w:w="947" w:type="dxa"/>
            <w:vAlign w:val="center"/>
          </w:tcPr>
          <w:p w14:paraId="1AE46C75" w14:textId="3487BF21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36.60</w:t>
            </w:r>
          </w:p>
        </w:tc>
        <w:tc>
          <w:tcPr>
            <w:tcW w:w="1134" w:type="dxa"/>
            <w:vAlign w:val="center"/>
          </w:tcPr>
          <w:p w14:paraId="5ADF4BCA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10.51%</w:t>
            </w:r>
          </w:p>
          <w:p w14:paraId="48217E0C" w14:textId="08697A3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7ED7F61" w14:textId="40B937C3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36.79</w:t>
            </w:r>
          </w:p>
        </w:tc>
        <w:tc>
          <w:tcPr>
            <w:tcW w:w="1157" w:type="dxa"/>
            <w:vAlign w:val="center"/>
          </w:tcPr>
          <w:p w14:paraId="7D3C9117" w14:textId="06532CA7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25.96%</w:t>
            </w:r>
          </w:p>
        </w:tc>
      </w:tr>
      <w:tr w:rsidR="002F7701" w14:paraId="3077269D" w14:textId="77777777" w:rsidTr="00CA1BBD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18B1649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686C67A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21D1E62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27.57</w:t>
            </w:r>
          </w:p>
        </w:tc>
        <w:tc>
          <w:tcPr>
            <w:tcW w:w="1157" w:type="dxa"/>
            <w:vAlign w:val="center"/>
          </w:tcPr>
          <w:p w14:paraId="0C7780F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F9B8E4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15.84</w:t>
            </w:r>
          </w:p>
        </w:tc>
        <w:tc>
          <w:tcPr>
            <w:tcW w:w="1134" w:type="dxa"/>
            <w:vAlign w:val="center"/>
          </w:tcPr>
          <w:p w14:paraId="6DADE7A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39CAB70" w14:textId="77777777" w:rsidR="002F7701" w:rsidRPr="00ED0788" w:rsidRDefault="002F7701" w:rsidP="00CA1BBD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58.58</w:t>
            </w:r>
          </w:p>
        </w:tc>
        <w:tc>
          <w:tcPr>
            <w:tcW w:w="1157" w:type="dxa"/>
            <w:vAlign w:val="center"/>
          </w:tcPr>
          <w:p w14:paraId="6C69C35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7D68F3F2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6611186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38E1BFD8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4789A38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27.64</w:t>
            </w:r>
          </w:p>
        </w:tc>
        <w:tc>
          <w:tcPr>
            <w:tcW w:w="1157" w:type="dxa"/>
            <w:vAlign w:val="center"/>
          </w:tcPr>
          <w:p w14:paraId="0654292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0.25%</w:t>
            </w:r>
          </w:p>
        </w:tc>
        <w:tc>
          <w:tcPr>
            <w:tcW w:w="947" w:type="dxa"/>
            <w:vAlign w:val="center"/>
          </w:tcPr>
          <w:p w14:paraId="65BB50DF" w14:textId="51823BD0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17.23</w:t>
            </w:r>
          </w:p>
        </w:tc>
        <w:tc>
          <w:tcPr>
            <w:tcW w:w="1134" w:type="dxa"/>
            <w:vAlign w:val="center"/>
          </w:tcPr>
          <w:p w14:paraId="171A0892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8.78%</w:t>
            </w:r>
          </w:p>
          <w:p w14:paraId="5E1A7272" w14:textId="2E25B3E4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7A56DC9" w14:textId="0A2AB573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45.07</w:t>
            </w:r>
          </w:p>
        </w:tc>
        <w:tc>
          <w:tcPr>
            <w:tcW w:w="1157" w:type="dxa"/>
            <w:vAlign w:val="center"/>
          </w:tcPr>
          <w:p w14:paraId="607180D9" w14:textId="66A15775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23.06%</w:t>
            </w:r>
          </w:p>
        </w:tc>
      </w:tr>
      <w:tr w:rsidR="002F7701" w14:paraId="718716C3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3E63996E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E01D70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77A2AE4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27.66</w:t>
            </w:r>
          </w:p>
        </w:tc>
        <w:tc>
          <w:tcPr>
            <w:tcW w:w="1157" w:type="dxa"/>
            <w:vAlign w:val="center"/>
          </w:tcPr>
          <w:p w14:paraId="37050DB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57EB4426" w14:textId="77730033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18.79</w:t>
            </w:r>
          </w:p>
        </w:tc>
        <w:tc>
          <w:tcPr>
            <w:tcW w:w="1134" w:type="dxa"/>
            <w:vAlign w:val="center"/>
          </w:tcPr>
          <w:p w14:paraId="4A9AB854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18.62%</w:t>
            </w:r>
          </w:p>
          <w:p w14:paraId="77A24184" w14:textId="3245ABF1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6B84B62" w14:textId="2B2A6823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45.04</w:t>
            </w:r>
          </w:p>
        </w:tc>
        <w:tc>
          <w:tcPr>
            <w:tcW w:w="1157" w:type="dxa"/>
            <w:vAlign w:val="center"/>
          </w:tcPr>
          <w:p w14:paraId="0730ADC5" w14:textId="1D849A84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23.11%</w:t>
            </w:r>
          </w:p>
        </w:tc>
      </w:tr>
      <w:tr w:rsidR="002F7701" w14:paraId="228DD113" w14:textId="77777777" w:rsidTr="00CA1BBD">
        <w:trPr>
          <w:cantSplit/>
          <w:trHeight w:val="20"/>
        </w:trPr>
        <w:tc>
          <w:tcPr>
            <w:tcW w:w="1510" w:type="dxa"/>
            <w:vMerge w:val="restart"/>
            <w:vAlign w:val="center"/>
          </w:tcPr>
          <w:p w14:paraId="6681198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14:paraId="01BCE5B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46C4CA7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27.08</w:t>
            </w:r>
          </w:p>
        </w:tc>
        <w:tc>
          <w:tcPr>
            <w:tcW w:w="1157" w:type="dxa"/>
            <w:vAlign w:val="center"/>
          </w:tcPr>
          <w:p w14:paraId="0697E0D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0B989B8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134" w:type="dxa"/>
            <w:vAlign w:val="center"/>
          </w:tcPr>
          <w:p w14:paraId="789254B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20C8DAC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73.11</w:t>
            </w:r>
          </w:p>
        </w:tc>
        <w:tc>
          <w:tcPr>
            <w:tcW w:w="1157" w:type="dxa"/>
            <w:vAlign w:val="center"/>
          </w:tcPr>
          <w:p w14:paraId="547EE11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658221E1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359A95B4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66DDF0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4011D1B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27.06</w:t>
            </w:r>
          </w:p>
        </w:tc>
        <w:tc>
          <w:tcPr>
            <w:tcW w:w="1157" w:type="dxa"/>
            <w:vAlign w:val="center"/>
          </w:tcPr>
          <w:p w14:paraId="06A6CF2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-0.07%</w:t>
            </w:r>
          </w:p>
        </w:tc>
        <w:tc>
          <w:tcPr>
            <w:tcW w:w="947" w:type="dxa"/>
            <w:vAlign w:val="center"/>
          </w:tcPr>
          <w:p w14:paraId="48656F5F" w14:textId="35E1FECA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9.55</w:t>
            </w:r>
          </w:p>
        </w:tc>
        <w:tc>
          <w:tcPr>
            <w:tcW w:w="1134" w:type="dxa"/>
            <w:vAlign w:val="center"/>
          </w:tcPr>
          <w:p w14:paraId="440C856D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15.06%</w:t>
            </w:r>
          </w:p>
          <w:p w14:paraId="766E5A70" w14:textId="06D7A9D6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02906D1B" w14:textId="1A7D778D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58.67</w:t>
            </w:r>
          </w:p>
        </w:tc>
        <w:tc>
          <w:tcPr>
            <w:tcW w:w="1157" w:type="dxa"/>
            <w:vAlign w:val="center"/>
          </w:tcPr>
          <w:p w14:paraId="79B6665E" w14:textId="40639D2F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19.75%</w:t>
            </w:r>
          </w:p>
        </w:tc>
      </w:tr>
      <w:tr w:rsidR="002F7701" w14:paraId="1F4E5167" w14:textId="77777777" w:rsidTr="00CA1BBD">
        <w:trPr>
          <w:cantSplit/>
          <w:trHeight w:val="20"/>
        </w:trPr>
        <w:tc>
          <w:tcPr>
            <w:tcW w:w="1510" w:type="dxa"/>
            <w:vMerge/>
            <w:vAlign w:val="center"/>
          </w:tcPr>
          <w:p w14:paraId="4C5A9DB6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4B613B5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6C2D50F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27.22</w:t>
            </w:r>
          </w:p>
        </w:tc>
        <w:tc>
          <w:tcPr>
            <w:tcW w:w="1157" w:type="dxa"/>
            <w:vAlign w:val="center"/>
          </w:tcPr>
          <w:p w14:paraId="2188ED7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0.52%</w:t>
            </w:r>
          </w:p>
        </w:tc>
        <w:tc>
          <w:tcPr>
            <w:tcW w:w="947" w:type="dxa"/>
            <w:vAlign w:val="center"/>
          </w:tcPr>
          <w:p w14:paraId="1D0A3237" w14:textId="1A9B1BAF" w:rsidR="002F7701" w:rsidRPr="00ED0788" w:rsidRDefault="000B431E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B431E">
              <w:rPr>
                <w:rFonts w:cs="Arial"/>
                <w:sz w:val="20"/>
                <w:szCs w:val="20"/>
              </w:rPr>
              <w:t>11.11</w:t>
            </w:r>
          </w:p>
        </w:tc>
        <w:tc>
          <w:tcPr>
            <w:tcW w:w="1134" w:type="dxa"/>
            <w:vAlign w:val="center"/>
          </w:tcPr>
          <w:p w14:paraId="7278E90E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33.86%</w:t>
            </w:r>
          </w:p>
          <w:p w14:paraId="2B352EDD" w14:textId="4E3FCC0E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253A7AE" w14:textId="27D6BFCB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58.53</w:t>
            </w:r>
          </w:p>
        </w:tc>
        <w:tc>
          <w:tcPr>
            <w:tcW w:w="1157" w:type="dxa"/>
            <w:vAlign w:val="center"/>
          </w:tcPr>
          <w:p w14:paraId="4E549E6B" w14:textId="3EFE5AE4" w:rsidR="002F7701" w:rsidRPr="00ED0788" w:rsidRDefault="00637ED0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37ED0">
              <w:rPr>
                <w:rFonts w:cs="Arial"/>
                <w:sz w:val="20"/>
                <w:szCs w:val="20"/>
              </w:rPr>
              <w:t>19.94%</w:t>
            </w:r>
          </w:p>
        </w:tc>
      </w:tr>
    </w:tbl>
    <w:p w14:paraId="2F88011F" w14:textId="77777777" w:rsidR="000C5BCD" w:rsidRDefault="000C5BCD" w:rsidP="000C5BCD"/>
    <w:p w14:paraId="0F9FCB8B" w14:textId="434DF569" w:rsidR="000C5BCD" w:rsidRPr="00ED0788" w:rsidRDefault="000C5BCD" w:rsidP="00B429B9">
      <w:pPr>
        <w:pStyle w:val="Caption"/>
        <w:jc w:val="center"/>
      </w:pPr>
      <w:bookmarkStart w:id="19" w:name="_Ref31833325"/>
      <w:r w:rsidRPr="0013617C">
        <w:rPr>
          <w:rFonts w:ascii="Arial" w:hAnsi="Arial" w:cs="Arial"/>
        </w:rPr>
        <w:t xml:space="preserve">Table </w:t>
      </w:r>
      <w:r w:rsidRPr="0013617C">
        <w:rPr>
          <w:rFonts w:ascii="Arial" w:hAnsi="Arial" w:cs="Arial"/>
        </w:rPr>
        <w:fldChar w:fldCharType="begin"/>
      </w:r>
      <w:r w:rsidRPr="0013617C">
        <w:rPr>
          <w:rFonts w:ascii="Arial" w:hAnsi="Arial" w:cs="Arial"/>
        </w:rPr>
        <w:instrText xml:space="preserve"> SEQ Table \* ARABIC </w:instrText>
      </w:r>
      <w:r w:rsidRPr="0013617C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5</w:t>
      </w:r>
      <w:r w:rsidRPr="0013617C">
        <w:rPr>
          <w:rFonts w:ascii="Arial" w:hAnsi="Arial" w:cs="Arial"/>
        </w:rPr>
        <w:fldChar w:fldCharType="end"/>
      </w:r>
      <w:bookmarkEnd w:id="19"/>
      <w:r w:rsidRPr="0013617C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</w:t>
      </w:r>
      <w:r>
        <w:rPr>
          <w:rFonts w:ascii="Arial" w:hAnsi="Arial" w:cs="Arial"/>
        </w:rPr>
        <w:t>or Type 1 and Type 2 UEs in SCS 30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320"/>
        <w:gridCol w:w="970"/>
        <w:gridCol w:w="1157"/>
        <w:gridCol w:w="947"/>
        <w:gridCol w:w="1134"/>
        <w:gridCol w:w="1417"/>
        <w:gridCol w:w="1129"/>
      </w:tblGrid>
      <w:tr w:rsidR="002F7701" w14:paraId="14DEEC94" w14:textId="77777777" w:rsidTr="00CA1BBD">
        <w:trPr>
          <w:trHeight w:val="1065"/>
        </w:trPr>
        <w:tc>
          <w:tcPr>
            <w:tcW w:w="2875" w:type="dxa"/>
            <w:gridSpan w:val="2"/>
            <w:vAlign w:val="center"/>
          </w:tcPr>
          <w:p w14:paraId="2D33CD78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# of UEs/Cell = 10,</w:t>
            </w:r>
          </w:p>
          <w:p w14:paraId="375E4C1C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BWP timer = 3ms</w:t>
            </w:r>
          </w:p>
          <w:p w14:paraId="379AAE02" w14:textId="0E415C5B" w:rsidR="002F7701" w:rsidRDefault="002F7701" w:rsidP="00CA1BBD">
            <w:pPr>
              <w:spacing w:after="0"/>
            </w:pPr>
            <w:r>
              <w:rPr>
                <w:b/>
                <w:sz w:val="20"/>
                <w:szCs w:val="20"/>
              </w:rPr>
              <w:t>Type-1: 1 slots, Type-2: 5</w:t>
            </w:r>
            <w:r w:rsidRPr="00BD00D8">
              <w:rPr>
                <w:b/>
                <w:sz w:val="20"/>
                <w:szCs w:val="20"/>
              </w:rPr>
              <w:t xml:space="preserve"> slots</w:t>
            </w:r>
            <w:r>
              <w:rPr>
                <w:b/>
                <w:sz w:val="20"/>
                <w:szCs w:val="20"/>
              </w:rPr>
              <w:br/>
            </w:r>
            <w:r w:rsidRPr="00BD00D8">
              <w:rPr>
                <w:b/>
                <w:sz w:val="20"/>
                <w:szCs w:val="20"/>
              </w:rPr>
              <w:t>w. cross-slot scheduling</w:t>
            </w:r>
          </w:p>
        </w:tc>
        <w:tc>
          <w:tcPr>
            <w:tcW w:w="970" w:type="dxa"/>
            <w:vAlign w:val="center"/>
          </w:tcPr>
          <w:p w14:paraId="4412426A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57" w:type="dxa"/>
            <w:vAlign w:val="center"/>
          </w:tcPr>
          <w:p w14:paraId="0B8AC57C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947" w:type="dxa"/>
            <w:vAlign w:val="center"/>
          </w:tcPr>
          <w:p w14:paraId="65C6EBE1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34" w:type="dxa"/>
            <w:vAlign w:val="center"/>
          </w:tcPr>
          <w:p w14:paraId="1B53FBAB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17" w:type="dxa"/>
            <w:vAlign w:val="center"/>
          </w:tcPr>
          <w:p w14:paraId="7FEA9C4B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129" w:type="dxa"/>
            <w:vAlign w:val="center"/>
          </w:tcPr>
          <w:p w14:paraId="667AECE5" w14:textId="77777777" w:rsidR="002F7701" w:rsidRPr="00ED0788" w:rsidRDefault="002F7701" w:rsidP="00CA1BBD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2F7701" w14:paraId="1102FEC4" w14:textId="77777777" w:rsidTr="00CA1BBD">
        <w:tc>
          <w:tcPr>
            <w:tcW w:w="1555" w:type="dxa"/>
            <w:vMerge w:val="restart"/>
            <w:vAlign w:val="center"/>
          </w:tcPr>
          <w:p w14:paraId="4726A602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160, 5, 8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320" w:type="dxa"/>
            <w:vAlign w:val="center"/>
          </w:tcPr>
          <w:p w14:paraId="30BB761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22AD2DC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29.47</w:t>
            </w:r>
          </w:p>
        </w:tc>
        <w:tc>
          <w:tcPr>
            <w:tcW w:w="1157" w:type="dxa"/>
            <w:vAlign w:val="center"/>
          </w:tcPr>
          <w:p w14:paraId="68C16588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E610E7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63.59</w:t>
            </w:r>
          </w:p>
        </w:tc>
        <w:tc>
          <w:tcPr>
            <w:tcW w:w="1134" w:type="dxa"/>
            <w:vAlign w:val="center"/>
          </w:tcPr>
          <w:p w14:paraId="4C75A37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0C955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45.29</w:t>
            </w:r>
          </w:p>
        </w:tc>
        <w:tc>
          <w:tcPr>
            <w:tcW w:w="1129" w:type="dxa"/>
            <w:vAlign w:val="center"/>
          </w:tcPr>
          <w:p w14:paraId="75CB3D7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5469EF41" w14:textId="77777777" w:rsidTr="00CA1BBD">
        <w:tc>
          <w:tcPr>
            <w:tcW w:w="1555" w:type="dxa"/>
            <w:vMerge/>
            <w:vAlign w:val="center"/>
          </w:tcPr>
          <w:p w14:paraId="3AF45F93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4C0350F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3646B16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29.42</w:t>
            </w:r>
          </w:p>
        </w:tc>
        <w:tc>
          <w:tcPr>
            <w:tcW w:w="1157" w:type="dxa"/>
            <w:vAlign w:val="center"/>
          </w:tcPr>
          <w:p w14:paraId="5111B9A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-0.17%</w:t>
            </w:r>
          </w:p>
        </w:tc>
        <w:tc>
          <w:tcPr>
            <w:tcW w:w="947" w:type="dxa"/>
            <w:vAlign w:val="center"/>
          </w:tcPr>
          <w:p w14:paraId="5A0321F5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64.71</w:t>
            </w:r>
          </w:p>
          <w:p w14:paraId="300C1CB4" w14:textId="641B18D4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08C126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1.76%</w:t>
            </w:r>
          </w:p>
          <w:p w14:paraId="5BB5E17B" w14:textId="20A6153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B981F72" w14:textId="6117CA93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32.38</w:t>
            </w:r>
          </w:p>
        </w:tc>
        <w:tc>
          <w:tcPr>
            <w:tcW w:w="1129" w:type="dxa"/>
            <w:vAlign w:val="center"/>
          </w:tcPr>
          <w:p w14:paraId="45FB4A9B" w14:textId="1A96F518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28.51%</w:t>
            </w:r>
          </w:p>
        </w:tc>
      </w:tr>
      <w:tr w:rsidR="002F7701" w14:paraId="0E3E3985" w14:textId="77777777" w:rsidTr="00CA1BBD">
        <w:tc>
          <w:tcPr>
            <w:tcW w:w="1555" w:type="dxa"/>
            <w:vMerge/>
            <w:vAlign w:val="center"/>
          </w:tcPr>
          <w:p w14:paraId="7F0C6D5F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1ACCD0C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3E71E7C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29.34</w:t>
            </w:r>
          </w:p>
        </w:tc>
        <w:tc>
          <w:tcPr>
            <w:tcW w:w="1157" w:type="dxa"/>
            <w:vAlign w:val="center"/>
          </w:tcPr>
          <w:p w14:paraId="32D507A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-0.44%</w:t>
            </w:r>
          </w:p>
        </w:tc>
        <w:tc>
          <w:tcPr>
            <w:tcW w:w="947" w:type="dxa"/>
            <w:vAlign w:val="center"/>
          </w:tcPr>
          <w:p w14:paraId="719C532E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65.92</w:t>
            </w:r>
          </w:p>
          <w:p w14:paraId="31931CAF" w14:textId="7C66B622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30AB83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3.66%</w:t>
            </w:r>
          </w:p>
          <w:p w14:paraId="73C033F2" w14:textId="69D20825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F95CAF8" w14:textId="321DD8C0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32.45</w:t>
            </w:r>
          </w:p>
        </w:tc>
        <w:tc>
          <w:tcPr>
            <w:tcW w:w="1129" w:type="dxa"/>
            <w:vAlign w:val="center"/>
          </w:tcPr>
          <w:p w14:paraId="20984FE8" w14:textId="714F50B0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28.35%</w:t>
            </w:r>
          </w:p>
        </w:tc>
      </w:tr>
      <w:tr w:rsidR="002F7701" w14:paraId="063D020B" w14:textId="77777777" w:rsidTr="00CA1BBD">
        <w:tc>
          <w:tcPr>
            <w:tcW w:w="1555" w:type="dxa"/>
            <w:vMerge w:val="restart"/>
            <w:vAlign w:val="center"/>
          </w:tcPr>
          <w:p w14:paraId="04316CAD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7722D5A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0E6B595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30.14</w:t>
            </w:r>
          </w:p>
        </w:tc>
        <w:tc>
          <w:tcPr>
            <w:tcW w:w="1157" w:type="dxa"/>
            <w:vAlign w:val="center"/>
          </w:tcPr>
          <w:p w14:paraId="474F00D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3CE05F0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30.28</w:t>
            </w:r>
          </w:p>
        </w:tc>
        <w:tc>
          <w:tcPr>
            <w:tcW w:w="1134" w:type="dxa"/>
            <w:vAlign w:val="center"/>
          </w:tcPr>
          <w:p w14:paraId="06AB1D8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97EF5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50.11</w:t>
            </w:r>
          </w:p>
        </w:tc>
        <w:tc>
          <w:tcPr>
            <w:tcW w:w="1129" w:type="dxa"/>
            <w:vAlign w:val="center"/>
          </w:tcPr>
          <w:p w14:paraId="78C705F8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1E21E05D" w14:textId="77777777" w:rsidTr="00CA1BBD">
        <w:tc>
          <w:tcPr>
            <w:tcW w:w="1555" w:type="dxa"/>
            <w:vMerge/>
            <w:vAlign w:val="center"/>
          </w:tcPr>
          <w:p w14:paraId="6D8418B7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7FB5119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6070203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30.19</w:t>
            </w:r>
          </w:p>
        </w:tc>
        <w:tc>
          <w:tcPr>
            <w:tcW w:w="1157" w:type="dxa"/>
            <w:vAlign w:val="center"/>
          </w:tcPr>
          <w:p w14:paraId="4891133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0.17%</w:t>
            </w:r>
          </w:p>
        </w:tc>
        <w:tc>
          <w:tcPr>
            <w:tcW w:w="947" w:type="dxa"/>
            <w:vAlign w:val="center"/>
          </w:tcPr>
          <w:p w14:paraId="6A2E526F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32.08</w:t>
            </w:r>
          </w:p>
          <w:p w14:paraId="009BA730" w14:textId="4A5AEBE8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9173094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5.94%</w:t>
            </w:r>
          </w:p>
          <w:p w14:paraId="6E698D5D" w14:textId="60439BFF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611A13" w14:textId="3AEBC31E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36.93</w:t>
            </w:r>
          </w:p>
        </w:tc>
        <w:tc>
          <w:tcPr>
            <w:tcW w:w="1129" w:type="dxa"/>
            <w:vAlign w:val="center"/>
          </w:tcPr>
          <w:p w14:paraId="423248DB" w14:textId="66CCDF9E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26.30%</w:t>
            </w:r>
          </w:p>
        </w:tc>
      </w:tr>
      <w:tr w:rsidR="002F7701" w14:paraId="2CCC39E1" w14:textId="77777777" w:rsidTr="00CA1BBD">
        <w:tc>
          <w:tcPr>
            <w:tcW w:w="1555" w:type="dxa"/>
            <w:vMerge/>
            <w:vAlign w:val="center"/>
          </w:tcPr>
          <w:p w14:paraId="14A90B5B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3425650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19A23FA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30.17</w:t>
            </w:r>
          </w:p>
        </w:tc>
        <w:tc>
          <w:tcPr>
            <w:tcW w:w="1157" w:type="dxa"/>
            <w:vAlign w:val="center"/>
          </w:tcPr>
          <w:p w14:paraId="007179D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0.10%</w:t>
            </w:r>
          </w:p>
        </w:tc>
        <w:tc>
          <w:tcPr>
            <w:tcW w:w="947" w:type="dxa"/>
            <w:vAlign w:val="center"/>
          </w:tcPr>
          <w:p w14:paraId="170838D9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33.43</w:t>
            </w:r>
          </w:p>
          <w:p w14:paraId="1C5AC940" w14:textId="36476935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410221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10.40%</w:t>
            </w:r>
          </w:p>
          <w:p w14:paraId="61E767ED" w14:textId="32C45802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58AE5FA" w14:textId="34227CD7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37.09</w:t>
            </w:r>
          </w:p>
        </w:tc>
        <w:tc>
          <w:tcPr>
            <w:tcW w:w="1129" w:type="dxa"/>
            <w:vAlign w:val="center"/>
          </w:tcPr>
          <w:p w14:paraId="3CA54EC9" w14:textId="0EBCEE66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25.98%</w:t>
            </w:r>
          </w:p>
        </w:tc>
      </w:tr>
      <w:tr w:rsidR="002F7701" w14:paraId="28BFD0FC" w14:textId="77777777" w:rsidTr="00CA1BBD">
        <w:tc>
          <w:tcPr>
            <w:tcW w:w="1555" w:type="dxa"/>
            <w:vMerge w:val="restart"/>
            <w:vAlign w:val="center"/>
          </w:tcPr>
          <w:p w14:paraId="31D543CE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5D97123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07A2ED2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30.40</w:t>
            </w:r>
          </w:p>
        </w:tc>
        <w:tc>
          <w:tcPr>
            <w:tcW w:w="1157" w:type="dxa"/>
            <w:vAlign w:val="center"/>
          </w:tcPr>
          <w:p w14:paraId="106FA4F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261958E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14.48</w:t>
            </w:r>
          </w:p>
        </w:tc>
        <w:tc>
          <w:tcPr>
            <w:tcW w:w="1134" w:type="dxa"/>
            <w:vAlign w:val="center"/>
          </w:tcPr>
          <w:p w14:paraId="3573507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3E366FC" w14:textId="77777777" w:rsidR="002F7701" w:rsidRPr="00ED0788" w:rsidRDefault="002F7701" w:rsidP="00CA1BBD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58.50</w:t>
            </w:r>
          </w:p>
        </w:tc>
        <w:tc>
          <w:tcPr>
            <w:tcW w:w="1129" w:type="dxa"/>
            <w:vAlign w:val="center"/>
          </w:tcPr>
          <w:p w14:paraId="65F2A56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50E30F27" w14:textId="77777777" w:rsidTr="00CA1BBD">
        <w:tc>
          <w:tcPr>
            <w:tcW w:w="1555" w:type="dxa"/>
            <w:vMerge/>
            <w:vAlign w:val="center"/>
          </w:tcPr>
          <w:p w14:paraId="61C11D59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488FDC5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5203C20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30.41</w:t>
            </w:r>
          </w:p>
        </w:tc>
        <w:tc>
          <w:tcPr>
            <w:tcW w:w="1157" w:type="dxa"/>
            <w:vAlign w:val="center"/>
          </w:tcPr>
          <w:p w14:paraId="75366B2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1303E27A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16.25</w:t>
            </w:r>
          </w:p>
          <w:p w14:paraId="43B9288F" w14:textId="5952CD81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A2329C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12.22%</w:t>
            </w:r>
          </w:p>
          <w:p w14:paraId="3155BFC1" w14:textId="762D51D9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1AA25BB" w14:textId="50C9F590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44.76</w:t>
            </w:r>
          </w:p>
        </w:tc>
        <w:tc>
          <w:tcPr>
            <w:tcW w:w="1129" w:type="dxa"/>
            <w:vAlign w:val="center"/>
          </w:tcPr>
          <w:p w14:paraId="37764FE0" w14:textId="43295BDB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23.49%</w:t>
            </w:r>
          </w:p>
        </w:tc>
      </w:tr>
      <w:tr w:rsidR="002F7701" w14:paraId="140111D9" w14:textId="77777777" w:rsidTr="00CA1BBD">
        <w:tc>
          <w:tcPr>
            <w:tcW w:w="1555" w:type="dxa"/>
            <w:vMerge/>
            <w:vAlign w:val="center"/>
          </w:tcPr>
          <w:p w14:paraId="31C92FA6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0E35BD0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3EA1D1E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30.50</w:t>
            </w:r>
          </w:p>
        </w:tc>
        <w:tc>
          <w:tcPr>
            <w:tcW w:w="1157" w:type="dxa"/>
            <w:vAlign w:val="center"/>
          </w:tcPr>
          <w:p w14:paraId="60FF016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0.33%</w:t>
            </w:r>
          </w:p>
        </w:tc>
        <w:tc>
          <w:tcPr>
            <w:tcW w:w="947" w:type="dxa"/>
            <w:vAlign w:val="center"/>
          </w:tcPr>
          <w:p w14:paraId="098A8AB4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17.57</w:t>
            </w:r>
          </w:p>
          <w:p w14:paraId="31E6C9BB" w14:textId="6932DAF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1B5FEB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lastRenderedPageBreak/>
              <w:t>21.34%</w:t>
            </w:r>
          </w:p>
          <w:p w14:paraId="7DD5CC91" w14:textId="2D90FE5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E15DB61" w14:textId="31467E11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lastRenderedPageBreak/>
              <w:t>44.89</w:t>
            </w:r>
          </w:p>
        </w:tc>
        <w:tc>
          <w:tcPr>
            <w:tcW w:w="1129" w:type="dxa"/>
            <w:vAlign w:val="center"/>
          </w:tcPr>
          <w:p w14:paraId="778DBFB9" w14:textId="7A453E39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23.26%</w:t>
            </w:r>
          </w:p>
        </w:tc>
      </w:tr>
      <w:tr w:rsidR="002F7701" w14:paraId="7474B881" w14:textId="77777777" w:rsidTr="00CA1BBD">
        <w:tc>
          <w:tcPr>
            <w:tcW w:w="1555" w:type="dxa"/>
            <w:vMerge w:val="restart"/>
            <w:vAlign w:val="center"/>
          </w:tcPr>
          <w:p w14:paraId="08166C34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20, 5, 10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20" w:type="dxa"/>
            <w:vAlign w:val="center"/>
          </w:tcPr>
          <w:p w14:paraId="5F41CD7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970" w:type="dxa"/>
            <w:vAlign w:val="center"/>
          </w:tcPr>
          <w:p w14:paraId="7A7478D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614CC0C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588D3324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6.60</w:t>
            </w:r>
          </w:p>
        </w:tc>
        <w:tc>
          <w:tcPr>
            <w:tcW w:w="1134" w:type="dxa"/>
            <w:vAlign w:val="center"/>
          </w:tcPr>
          <w:p w14:paraId="3BEFCE8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D32B2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71.31</w:t>
            </w:r>
          </w:p>
        </w:tc>
        <w:tc>
          <w:tcPr>
            <w:tcW w:w="1129" w:type="dxa"/>
            <w:vAlign w:val="center"/>
          </w:tcPr>
          <w:p w14:paraId="352C02D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4593D014" w14:textId="77777777" w:rsidTr="00CA1BBD">
        <w:tc>
          <w:tcPr>
            <w:tcW w:w="1555" w:type="dxa"/>
            <w:vMerge/>
            <w:vAlign w:val="center"/>
          </w:tcPr>
          <w:p w14:paraId="3CD72FFD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2658D1F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970" w:type="dxa"/>
            <w:vAlign w:val="center"/>
          </w:tcPr>
          <w:p w14:paraId="387B5DB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30.24</w:t>
            </w:r>
          </w:p>
        </w:tc>
        <w:tc>
          <w:tcPr>
            <w:tcW w:w="1157" w:type="dxa"/>
            <w:vAlign w:val="center"/>
          </w:tcPr>
          <w:p w14:paraId="6FC6709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947" w:type="dxa"/>
            <w:vAlign w:val="center"/>
          </w:tcPr>
          <w:p w14:paraId="2E20675C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8.07</w:t>
            </w:r>
          </w:p>
          <w:p w14:paraId="2ADB6060" w14:textId="1ECE7503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A1F53D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22.27%</w:t>
            </w:r>
          </w:p>
          <w:p w14:paraId="3D0D09D5" w14:textId="4C557CD6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83F0ABE" w14:textId="10AAF598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56.28</w:t>
            </w:r>
          </w:p>
        </w:tc>
        <w:tc>
          <w:tcPr>
            <w:tcW w:w="1129" w:type="dxa"/>
            <w:vAlign w:val="center"/>
          </w:tcPr>
          <w:p w14:paraId="658BF71C" w14:textId="3F7F70BF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21.08%</w:t>
            </w:r>
          </w:p>
        </w:tc>
      </w:tr>
      <w:tr w:rsidR="002F7701" w14:paraId="52B7CE89" w14:textId="77777777" w:rsidTr="00CA1BBD">
        <w:tc>
          <w:tcPr>
            <w:tcW w:w="1555" w:type="dxa"/>
            <w:vMerge/>
            <w:vAlign w:val="center"/>
          </w:tcPr>
          <w:p w14:paraId="52A2601D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3A4E120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970" w:type="dxa"/>
            <w:vAlign w:val="center"/>
          </w:tcPr>
          <w:p w14:paraId="60155F3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30.25</w:t>
            </w:r>
          </w:p>
        </w:tc>
        <w:tc>
          <w:tcPr>
            <w:tcW w:w="1157" w:type="dxa"/>
            <w:vAlign w:val="center"/>
          </w:tcPr>
          <w:p w14:paraId="2EF1C8C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8E6BEC">
              <w:rPr>
                <w:rFonts w:cs="Arial"/>
                <w:sz w:val="20"/>
                <w:szCs w:val="20"/>
              </w:rPr>
              <w:t>0.03%</w:t>
            </w:r>
          </w:p>
        </w:tc>
        <w:tc>
          <w:tcPr>
            <w:tcW w:w="947" w:type="dxa"/>
            <w:vAlign w:val="center"/>
          </w:tcPr>
          <w:p w14:paraId="0C380DD0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9.24</w:t>
            </w:r>
          </w:p>
          <w:p w14:paraId="0CB10677" w14:textId="34D2E2DF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4E599F" w14:textId="77777777" w:rsidR="0062214A" w:rsidRPr="0062214A" w:rsidRDefault="0062214A" w:rsidP="0062214A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62214A">
              <w:rPr>
                <w:rFonts w:cs="Arial"/>
                <w:sz w:val="20"/>
                <w:szCs w:val="20"/>
              </w:rPr>
              <w:t>40%</w:t>
            </w:r>
          </w:p>
          <w:p w14:paraId="7E51BA39" w14:textId="1FD27645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062295A" w14:textId="1063C73D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56.09</w:t>
            </w:r>
          </w:p>
        </w:tc>
        <w:tc>
          <w:tcPr>
            <w:tcW w:w="1129" w:type="dxa"/>
            <w:vAlign w:val="center"/>
          </w:tcPr>
          <w:p w14:paraId="70D912EC" w14:textId="3DA055BD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21.34%</w:t>
            </w:r>
          </w:p>
        </w:tc>
      </w:tr>
    </w:tbl>
    <w:p w14:paraId="2F32CB63" w14:textId="77777777" w:rsidR="000C5BCD" w:rsidRPr="00ED0788" w:rsidRDefault="000C5BCD" w:rsidP="000C5BCD"/>
    <w:p w14:paraId="4AB16583" w14:textId="1E3C95FC" w:rsidR="000C5BCD" w:rsidRDefault="000C5BCD" w:rsidP="000C5BCD">
      <w:pPr>
        <w:pStyle w:val="Doc-text2"/>
        <w:tabs>
          <w:tab w:val="left" w:pos="340"/>
        </w:tabs>
        <w:spacing w:before="120" w:after="120"/>
        <w:ind w:left="0" w:firstLine="0"/>
        <w:jc w:val="both"/>
      </w:pPr>
      <w:r>
        <w:rPr>
          <w:rFonts w:eastAsiaTheme="minorEastAsia" w:cs="Arial"/>
          <w:sz w:val="22"/>
          <w:lang w:eastAsia="zh-CN"/>
        </w:rPr>
        <w:t>In FR2, assuming that 4 CCs are in use</w:t>
      </w:r>
      <w:r w:rsidR="007B746C">
        <w:rPr>
          <w:rFonts w:eastAsiaTheme="minorEastAsia" w:cs="Arial"/>
          <w:sz w:val="22"/>
          <w:lang w:eastAsia="zh-CN"/>
        </w:rPr>
        <w:t xml:space="preserve"> </w:t>
      </w:r>
      <w:r w:rsidR="007B746C" w:rsidRPr="007B746C">
        <w:rPr>
          <w:rFonts w:eastAsiaTheme="minorEastAsia" w:cs="Arial"/>
          <w:sz w:val="22"/>
          <w:lang w:eastAsia="zh-CN"/>
        </w:rPr>
        <w:t>and MIMO layer adaptation</w:t>
      </w:r>
      <w:r w:rsidR="007B746C">
        <w:rPr>
          <w:rFonts w:eastAsiaTheme="minorEastAsia" w:cs="Arial"/>
          <w:sz w:val="22"/>
          <w:lang w:eastAsia="zh-CN"/>
        </w:rPr>
        <w:t>,</w:t>
      </w:r>
      <w:r w:rsidR="007B746C" w:rsidRPr="007B746C">
        <w:rPr>
          <w:rFonts w:eastAsiaTheme="minorEastAsia" w:cs="Arial"/>
          <w:sz w:val="22"/>
          <w:lang w:eastAsia="zh-CN"/>
        </w:rPr>
        <w:t xml:space="preserve"> cross-slot scheduling</w:t>
      </w:r>
      <w:r w:rsidR="007B746C">
        <w:rPr>
          <w:rFonts w:eastAsiaTheme="minorEastAsia" w:cs="Arial"/>
          <w:sz w:val="22"/>
          <w:lang w:eastAsia="zh-CN"/>
        </w:rPr>
        <w:t xml:space="preserve">, and SCell dormancy </w:t>
      </w:r>
      <w:r w:rsidR="0013617C" w:rsidRPr="0013617C">
        <w:rPr>
          <w:rFonts w:eastAsiaTheme="minorEastAsia" w:cs="Arial"/>
          <w:sz w:val="22"/>
          <w:lang w:eastAsia="zh-CN"/>
        </w:rPr>
        <w:t>behaviour</w:t>
      </w:r>
      <w:r w:rsidR="0013617C" w:rsidDel="0013617C">
        <w:rPr>
          <w:rFonts w:eastAsiaTheme="minorEastAsia" w:cs="Arial"/>
          <w:sz w:val="22"/>
          <w:lang w:eastAsia="zh-CN"/>
        </w:rPr>
        <w:t xml:space="preserve"> </w:t>
      </w:r>
      <w:r w:rsidR="007B746C" w:rsidRPr="007B746C">
        <w:rPr>
          <w:rFonts w:eastAsiaTheme="minorEastAsia" w:cs="Arial"/>
          <w:sz w:val="22"/>
          <w:lang w:eastAsia="zh-CN"/>
        </w:rPr>
        <w:t xml:space="preserve">are </w:t>
      </w:r>
      <w:r w:rsidR="007B746C">
        <w:rPr>
          <w:rFonts w:eastAsiaTheme="minorEastAsia" w:cs="Arial"/>
          <w:sz w:val="22"/>
          <w:lang w:eastAsia="zh-CN"/>
        </w:rPr>
        <w:t xml:space="preserve">all </w:t>
      </w:r>
      <w:r w:rsidR="007B746C" w:rsidRPr="007B746C">
        <w:rPr>
          <w:rFonts w:eastAsiaTheme="minorEastAsia" w:cs="Arial"/>
          <w:sz w:val="22"/>
          <w:lang w:eastAsia="zh-CN"/>
        </w:rPr>
        <w:t>applied</w:t>
      </w:r>
      <w:r>
        <w:rPr>
          <w:rFonts w:eastAsiaTheme="minorEastAsia" w:cs="Arial"/>
          <w:sz w:val="22"/>
          <w:lang w:eastAsia="zh-CN"/>
        </w:rPr>
        <w:t>, the evaluation results of 120kHz are shown in</w:t>
      </w:r>
      <w:r w:rsidR="007B746C">
        <w:rPr>
          <w:rFonts w:eastAsiaTheme="minorEastAsia" w:cs="Arial"/>
          <w:sz w:val="22"/>
          <w:lang w:eastAsia="zh-CN"/>
        </w:rPr>
        <w:t xml:space="preserve"> </w:t>
      </w:r>
      <w:r w:rsidR="007B746C">
        <w:rPr>
          <w:rFonts w:eastAsiaTheme="minorEastAsia" w:cs="Arial"/>
          <w:sz w:val="22"/>
          <w:lang w:eastAsia="zh-CN"/>
        </w:rPr>
        <w:fldChar w:fldCharType="begin"/>
      </w:r>
      <w:r w:rsidR="007B746C">
        <w:rPr>
          <w:rFonts w:eastAsiaTheme="minorEastAsia" w:cs="Arial"/>
          <w:sz w:val="22"/>
          <w:lang w:eastAsia="zh-CN"/>
        </w:rPr>
        <w:instrText xml:space="preserve"> REF _Ref31833402 \h </w:instrText>
      </w:r>
      <w:r w:rsidR="007B746C">
        <w:rPr>
          <w:rFonts w:eastAsiaTheme="minorEastAsia" w:cs="Arial"/>
          <w:sz w:val="22"/>
          <w:lang w:eastAsia="zh-CN"/>
        </w:rPr>
      </w:r>
      <w:r w:rsidR="007B746C">
        <w:rPr>
          <w:rFonts w:eastAsiaTheme="minorEastAsia" w:cs="Arial"/>
          <w:sz w:val="22"/>
          <w:lang w:eastAsia="zh-CN"/>
        </w:rPr>
        <w:fldChar w:fldCharType="separate"/>
      </w:r>
      <w:r w:rsidR="00C151DD" w:rsidRPr="00ED0788">
        <w:rPr>
          <w:rFonts w:cs="Arial"/>
        </w:rPr>
        <w:t xml:space="preserve">Table </w:t>
      </w:r>
      <w:r w:rsidR="00C151DD">
        <w:rPr>
          <w:rFonts w:cs="Arial"/>
          <w:noProof/>
        </w:rPr>
        <w:t>6</w:t>
      </w:r>
      <w:r w:rsidR="007B746C">
        <w:rPr>
          <w:rFonts w:eastAsiaTheme="minorEastAsia" w:cs="Arial"/>
          <w:sz w:val="22"/>
          <w:lang w:eastAsia="zh-CN"/>
        </w:rPr>
        <w:fldChar w:fldCharType="end"/>
      </w:r>
      <w:r>
        <w:rPr>
          <w:rFonts w:eastAsiaTheme="minorEastAsia" w:cs="Arial"/>
          <w:sz w:val="22"/>
          <w:lang w:eastAsia="zh-CN"/>
        </w:rPr>
        <w:t xml:space="preserve">. </w:t>
      </w:r>
    </w:p>
    <w:p w14:paraId="1290368C" w14:textId="77777777" w:rsidR="000C5BCD" w:rsidRPr="00ED0788" w:rsidRDefault="000C5BCD" w:rsidP="000C5BCD">
      <w:pPr>
        <w:pStyle w:val="Caption"/>
        <w:jc w:val="center"/>
      </w:pPr>
      <w:bookmarkStart w:id="20" w:name="_Ref31833402"/>
      <w:r w:rsidRPr="00ED0788">
        <w:rPr>
          <w:rFonts w:ascii="Arial" w:hAnsi="Arial" w:cs="Arial"/>
        </w:rPr>
        <w:t xml:space="preserve">Table </w:t>
      </w:r>
      <w:r w:rsidRPr="00ED0788">
        <w:rPr>
          <w:rFonts w:ascii="Arial" w:hAnsi="Arial" w:cs="Arial"/>
        </w:rPr>
        <w:fldChar w:fldCharType="begin"/>
      </w:r>
      <w:r w:rsidRPr="00ED0788">
        <w:rPr>
          <w:rFonts w:ascii="Arial" w:hAnsi="Arial" w:cs="Arial"/>
        </w:rPr>
        <w:instrText xml:space="preserve"> SEQ Table \* ARABIC </w:instrText>
      </w:r>
      <w:r w:rsidRPr="00ED0788">
        <w:rPr>
          <w:rFonts w:ascii="Arial" w:hAnsi="Arial" w:cs="Arial"/>
        </w:rPr>
        <w:fldChar w:fldCharType="separate"/>
      </w:r>
      <w:r w:rsidR="00C151DD">
        <w:rPr>
          <w:rFonts w:ascii="Arial" w:hAnsi="Arial" w:cs="Arial"/>
          <w:noProof/>
        </w:rPr>
        <w:t>6</w:t>
      </w:r>
      <w:r w:rsidRPr="00ED0788">
        <w:rPr>
          <w:rFonts w:ascii="Arial" w:hAnsi="Arial" w:cs="Arial"/>
        </w:rPr>
        <w:fldChar w:fldCharType="end"/>
      </w:r>
      <w:bookmarkEnd w:id="20"/>
      <w:r w:rsidRPr="00ED078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</w:t>
      </w:r>
      <w:r w:rsidRPr="00ED0788">
        <w:rPr>
          <w:rFonts w:ascii="Arial" w:hAnsi="Arial" w:cs="Arial"/>
        </w:rPr>
        <w:t>ower saving gain and latency for Type 1 and Type 2 UE</w:t>
      </w:r>
      <w:r>
        <w:rPr>
          <w:rFonts w:ascii="Arial" w:hAnsi="Arial" w:cs="Arial"/>
        </w:rPr>
        <w:t>s</w:t>
      </w:r>
      <w:r w:rsidRPr="00ED0788">
        <w:rPr>
          <w:rFonts w:ascii="Arial" w:hAnsi="Arial" w:cs="Arial"/>
        </w:rPr>
        <w:t xml:space="preserve"> in SCS 1</w:t>
      </w:r>
      <w:r>
        <w:rPr>
          <w:rFonts w:ascii="Arial" w:hAnsi="Arial" w:cs="Arial"/>
        </w:rPr>
        <w:t>20</w:t>
      </w:r>
      <w:r w:rsidRPr="00ED0788">
        <w:rPr>
          <w:rFonts w:ascii="Arial" w:hAnsi="Arial" w:cs="Arial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420"/>
        <w:gridCol w:w="730"/>
        <w:gridCol w:w="1199"/>
        <w:gridCol w:w="856"/>
        <w:gridCol w:w="1158"/>
        <w:gridCol w:w="1401"/>
        <w:gridCol w:w="1414"/>
      </w:tblGrid>
      <w:tr w:rsidR="002F7701" w14:paraId="1C7FA231" w14:textId="77777777" w:rsidTr="00CA1BBD">
        <w:trPr>
          <w:cantSplit/>
          <w:trHeight w:val="1134"/>
        </w:trPr>
        <w:tc>
          <w:tcPr>
            <w:tcW w:w="2871" w:type="dxa"/>
            <w:gridSpan w:val="2"/>
            <w:vAlign w:val="center"/>
          </w:tcPr>
          <w:p w14:paraId="20C70141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# of UEs/Cell = 10,</w:t>
            </w:r>
          </w:p>
          <w:p w14:paraId="0D87CEB1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BWP timer = 1ms</w:t>
            </w:r>
          </w:p>
          <w:p w14:paraId="2E1118FE" w14:textId="77777777" w:rsidR="002F7701" w:rsidRPr="00BD00D8" w:rsidRDefault="002F7701" w:rsidP="00CA1BBD">
            <w:pPr>
              <w:spacing w:after="0"/>
              <w:rPr>
                <w:b/>
                <w:sz w:val="20"/>
                <w:szCs w:val="20"/>
              </w:rPr>
            </w:pPr>
            <w:r w:rsidRPr="00BD00D8">
              <w:rPr>
                <w:b/>
                <w:sz w:val="20"/>
                <w:szCs w:val="20"/>
              </w:rPr>
              <w:t>Type-1: 6 slots, Type-2: 18 slots</w:t>
            </w:r>
          </w:p>
          <w:p w14:paraId="60F8A70E" w14:textId="77777777" w:rsidR="002F7701" w:rsidRDefault="002F7701" w:rsidP="00CA1BBD">
            <w:pPr>
              <w:spacing w:after="0"/>
            </w:pPr>
            <w:r w:rsidRPr="00BD00D8">
              <w:rPr>
                <w:b/>
                <w:sz w:val="20"/>
                <w:szCs w:val="20"/>
              </w:rPr>
              <w:t>w. SCell dormancy + cross-slot</w:t>
            </w:r>
          </w:p>
        </w:tc>
        <w:tc>
          <w:tcPr>
            <w:tcW w:w="730" w:type="dxa"/>
            <w:vAlign w:val="center"/>
          </w:tcPr>
          <w:p w14:paraId="3E2DBBAC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RU(%)</w:t>
            </w:r>
          </w:p>
        </w:tc>
        <w:tc>
          <w:tcPr>
            <w:tcW w:w="1199" w:type="dxa"/>
            <w:vAlign w:val="center"/>
          </w:tcPr>
          <w:p w14:paraId="7B858B6C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RU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856" w:type="dxa"/>
            <w:vAlign w:val="center"/>
          </w:tcPr>
          <w:p w14:paraId="4D42BB8C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158" w:type="dxa"/>
            <w:vAlign w:val="center"/>
          </w:tcPr>
          <w:p w14:paraId="1421D9E1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Latency Increment </w:t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  <w:tc>
          <w:tcPr>
            <w:tcW w:w="1401" w:type="dxa"/>
            <w:vAlign w:val="center"/>
          </w:tcPr>
          <w:p w14:paraId="71B0556B" w14:textId="77777777" w:rsidR="002F7701" w:rsidRPr="00ED0788" w:rsidRDefault="002F7701" w:rsidP="00CA1BBD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Power Consumption (units)</w:t>
            </w:r>
          </w:p>
        </w:tc>
        <w:tc>
          <w:tcPr>
            <w:tcW w:w="1414" w:type="dxa"/>
            <w:vAlign w:val="center"/>
          </w:tcPr>
          <w:p w14:paraId="14C9CB0E" w14:textId="77777777" w:rsidR="002F7701" w:rsidRPr="00ED0788" w:rsidRDefault="002F7701" w:rsidP="00CA1BBD">
            <w:pPr>
              <w:tabs>
                <w:tab w:val="left" w:pos="428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 xml:space="preserve">PS gain </w:t>
            </w:r>
            <w:r w:rsidRPr="00ED0788">
              <w:rPr>
                <w:rFonts w:cs="Arial"/>
                <w:b/>
                <w:sz w:val="20"/>
                <w:szCs w:val="20"/>
              </w:rPr>
              <w:br/>
            </w:r>
            <w:r w:rsidRPr="00ED0788">
              <w:rPr>
                <w:rFonts w:cs="Arial"/>
                <w:sz w:val="20"/>
                <w:szCs w:val="20"/>
              </w:rPr>
              <w:t>(w.r.t baseline)</w:t>
            </w:r>
          </w:p>
        </w:tc>
      </w:tr>
      <w:tr w:rsidR="002F7701" w14:paraId="5BBE31A3" w14:textId="77777777" w:rsidTr="00CA1BBD">
        <w:trPr>
          <w:trHeight w:val="270"/>
        </w:trPr>
        <w:tc>
          <w:tcPr>
            <w:tcW w:w="1451" w:type="dxa"/>
            <w:vMerge w:val="restart"/>
            <w:vAlign w:val="center"/>
          </w:tcPr>
          <w:p w14:paraId="677DFDED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160, 5, 4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=0.5</w:t>
            </w:r>
          </w:p>
        </w:tc>
        <w:tc>
          <w:tcPr>
            <w:tcW w:w="1420" w:type="dxa"/>
            <w:vAlign w:val="center"/>
          </w:tcPr>
          <w:p w14:paraId="67835BE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356A12A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415A40B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3E70D71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64.36</w:t>
            </w:r>
          </w:p>
        </w:tc>
        <w:tc>
          <w:tcPr>
            <w:tcW w:w="1158" w:type="dxa"/>
            <w:vAlign w:val="center"/>
          </w:tcPr>
          <w:p w14:paraId="09F757F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70F60EF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120.56</w:t>
            </w:r>
          </w:p>
        </w:tc>
        <w:tc>
          <w:tcPr>
            <w:tcW w:w="1414" w:type="dxa"/>
            <w:vAlign w:val="center"/>
          </w:tcPr>
          <w:p w14:paraId="2AAA20E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0BD8ECE9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2A8318A0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025486D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7FC6DD3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.35</w:t>
            </w:r>
          </w:p>
        </w:tc>
        <w:tc>
          <w:tcPr>
            <w:tcW w:w="1199" w:type="dxa"/>
            <w:vAlign w:val="center"/>
          </w:tcPr>
          <w:p w14:paraId="0B20AC4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481173E8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65.47</w:t>
            </w:r>
          </w:p>
          <w:p w14:paraId="7F7CB8A3" w14:textId="263AA8DC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208C3E62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1.72%</w:t>
            </w:r>
          </w:p>
          <w:p w14:paraId="6EC4378E" w14:textId="711BE8D2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7894239D" w14:textId="2EBE5F15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41.78</w:t>
            </w:r>
          </w:p>
        </w:tc>
        <w:tc>
          <w:tcPr>
            <w:tcW w:w="1414" w:type="dxa"/>
            <w:vAlign w:val="center"/>
          </w:tcPr>
          <w:p w14:paraId="662746ED" w14:textId="1626538F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65.35%</w:t>
            </w:r>
          </w:p>
        </w:tc>
      </w:tr>
      <w:tr w:rsidR="002F7701" w14:paraId="7FC8B169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1C054EF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12B2DC3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72B6908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</w:t>
            </w: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199" w:type="dxa"/>
            <w:vAlign w:val="center"/>
          </w:tcPr>
          <w:p w14:paraId="60D287F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0%</w:t>
            </w:r>
          </w:p>
        </w:tc>
        <w:tc>
          <w:tcPr>
            <w:tcW w:w="856" w:type="dxa"/>
            <w:vAlign w:val="center"/>
          </w:tcPr>
          <w:p w14:paraId="63D1F643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66.10</w:t>
            </w:r>
          </w:p>
          <w:p w14:paraId="07B8011B" w14:textId="13B045E3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32853C25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2.70%</w:t>
            </w:r>
          </w:p>
          <w:p w14:paraId="390F1684" w14:textId="001A5B2A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12DF9827" w14:textId="18CBAEA1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42.41</w:t>
            </w:r>
          </w:p>
        </w:tc>
        <w:tc>
          <w:tcPr>
            <w:tcW w:w="1414" w:type="dxa"/>
            <w:vAlign w:val="center"/>
          </w:tcPr>
          <w:p w14:paraId="26DCCD9C" w14:textId="492E3FB2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64.82%</w:t>
            </w:r>
          </w:p>
        </w:tc>
      </w:tr>
      <w:tr w:rsidR="002F7701" w14:paraId="59F309EF" w14:textId="77777777" w:rsidTr="00CA1BBD">
        <w:trPr>
          <w:trHeight w:val="270"/>
        </w:trPr>
        <w:tc>
          <w:tcPr>
            <w:tcW w:w="1451" w:type="dxa"/>
            <w:vMerge w:val="restart"/>
            <w:vAlign w:val="center"/>
          </w:tcPr>
          <w:p w14:paraId="514AFDE2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80, 5, 2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44FAA0F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5DFD0F3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8.45</w:t>
            </w:r>
          </w:p>
        </w:tc>
        <w:tc>
          <w:tcPr>
            <w:tcW w:w="1199" w:type="dxa"/>
            <w:vAlign w:val="center"/>
          </w:tcPr>
          <w:p w14:paraId="503DD71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6F71A84E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31.19</w:t>
            </w:r>
          </w:p>
        </w:tc>
        <w:tc>
          <w:tcPr>
            <w:tcW w:w="1158" w:type="dxa"/>
            <w:vAlign w:val="center"/>
          </w:tcPr>
          <w:p w14:paraId="7652AA7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5C61F031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131.55</w:t>
            </w:r>
          </w:p>
        </w:tc>
        <w:tc>
          <w:tcPr>
            <w:tcW w:w="1414" w:type="dxa"/>
            <w:vAlign w:val="center"/>
          </w:tcPr>
          <w:p w14:paraId="34486FB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4A7DA32A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5BD10E1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7E1629E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33532AF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199" w:type="dxa"/>
            <w:vAlign w:val="center"/>
          </w:tcPr>
          <w:p w14:paraId="18A3EC5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-0.36%</w:t>
            </w:r>
          </w:p>
        </w:tc>
        <w:tc>
          <w:tcPr>
            <w:tcW w:w="856" w:type="dxa"/>
            <w:vAlign w:val="center"/>
          </w:tcPr>
          <w:p w14:paraId="3115E5CD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32.04</w:t>
            </w:r>
          </w:p>
          <w:p w14:paraId="63ADCE2B" w14:textId="2FCC4C2E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542253FC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2.73%</w:t>
            </w:r>
          </w:p>
          <w:p w14:paraId="1DCB334C" w14:textId="6EE82E3C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177B9EC3" w14:textId="4A81EA77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48.13</w:t>
            </w:r>
          </w:p>
        </w:tc>
        <w:tc>
          <w:tcPr>
            <w:tcW w:w="1414" w:type="dxa"/>
            <w:vAlign w:val="center"/>
          </w:tcPr>
          <w:p w14:paraId="7C86627F" w14:textId="42CF40C5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63.41%</w:t>
            </w:r>
          </w:p>
        </w:tc>
      </w:tr>
      <w:tr w:rsidR="002F7701" w14:paraId="7E4F262E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50E95401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22488AB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53FEA54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8.44</w:t>
            </w:r>
          </w:p>
        </w:tc>
        <w:tc>
          <w:tcPr>
            <w:tcW w:w="1199" w:type="dxa"/>
            <w:vAlign w:val="center"/>
          </w:tcPr>
          <w:p w14:paraId="6B18BA3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-0.12%</w:t>
            </w:r>
          </w:p>
        </w:tc>
        <w:tc>
          <w:tcPr>
            <w:tcW w:w="856" w:type="dxa"/>
            <w:vAlign w:val="center"/>
          </w:tcPr>
          <w:p w14:paraId="236C12F4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32.97</w:t>
            </w:r>
          </w:p>
          <w:p w14:paraId="2EABB242" w14:textId="06C68CC1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6A159C12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5.71%</w:t>
            </w:r>
          </w:p>
          <w:p w14:paraId="0BE25A55" w14:textId="7FAC5D96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05B025E1" w14:textId="7E299616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49.47</w:t>
            </w:r>
          </w:p>
        </w:tc>
        <w:tc>
          <w:tcPr>
            <w:tcW w:w="1414" w:type="dxa"/>
            <w:vAlign w:val="center"/>
          </w:tcPr>
          <w:p w14:paraId="51A9E8A7" w14:textId="468AE2F5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62.39%</w:t>
            </w:r>
          </w:p>
        </w:tc>
      </w:tr>
      <w:tr w:rsidR="002F7701" w14:paraId="5F5A3656" w14:textId="77777777" w:rsidTr="00CA1BBD">
        <w:trPr>
          <w:trHeight w:val="270"/>
        </w:trPr>
        <w:tc>
          <w:tcPr>
            <w:tcW w:w="1451" w:type="dxa"/>
            <w:vMerge w:val="restart"/>
            <w:vAlign w:val="center"/>
          </w:tcPr>
          <w:p w14:paraId="3D78B8E8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40, 5, 1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0)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12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5B5A8268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3A49BFB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8.30</w:t>
            </w:r>
          </w:p>
        </w:tc>
        <w:tc>
          <w:tcPr>
            <w:tcW w:w="1199" w:type="dxa"/>
            <w:vAlign w:val="center"/>
          </w:tcPr>
          <w:p w14:paraId="3A4D0448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37AA237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14.51</w:t>
            </w:r>
          </w:p>
        </w:tc>
        <w:tc>
          <w:tcPr>
            <w:tcW w:w="1158" w:type="dxa"/>
            <w:vAlign w:val="center"/>
          </w:tcPr>
          <w:p w14:paraId="151F2F8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686EF05C" w14:textId="77777777" w:rsidR="002F7701" w:rsidRPr="00ED0788" w:rsidRDefault="002F7701" w:rsidP="00CA1BBD">
            <w:pPr>
              <w:tabs>
                <w:tab w:val="left" w:pos="399"/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152.77</w:t>
            </w:r>
          </w:p>
        </w:tc>
        <w:tc>
          <w:tcPr>
            <w:tcW w:w="1414" w:type="dxa"/>
            <w:vAlign w:val="center"/>
          </w:tcPr>
          <w:p w14:paraId="0307DA9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69369CB7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22E36CC5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09D07EC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1E9CA7DC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8.31</w:t>
            </w:r>
          </w:p>
        </w:tc>
        <w:tc>
          <w:tcPr>
            <w:tcW w:w="1199" w:type="dxa"/>
            <w:vAlign w:val="center"/>
          </w:tcPr>
          <w:p w14:paraId="7AE0574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0.12%</w:t>
            </w:r>
          </w:p>
        </w:tc>
        <w:tc>
          <w:tcPr>
            <w:tcW w:w="856" w:type="dxa"/>
            <w:vAlign w:val="center"/>
          </w:tcPr>
          <w:p w14:paraId="52B70A60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15.46</w:t>
            </w:r>
          </w:p>
          <w:p w14:paraId="0B81D72E" w14:textId="1EDCA18D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253FD599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6.55%</w:t>
            </w:r>
          </w:p>
          <w:p w14:paraId="0F28A7CD" w14:textId="3C2E8D1A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25BA1DC5" w14:textId="4D875CD6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60.25</w:t>
            </w:r>
          </w:p>
        </w:tc>
        <w:tc>
          <w:tcPr>
            <w:tcW w:w="1414" w:type="dxa"/>
            <w:vAlign w:val="center"/>
          </w:tcPr>
          <w:p w14:paraId="7014CE2E" w14:textId="236A9302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60.56%</w:t>
            </w:r>
          </w:p>
        </w:tc>
      </w:tr>
      <w:tr w:rsidR="002F7701" w14:paraId="6EC8D463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6F2708CC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47895EA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7C01709A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8.26</w:t>
            </w:r>
          </w:p>
        </w:tc>
        <w:tc>
          <w:tcPr>
            <w:tcW w:w="1199" w:type="dxa"/>
            <w:vAlign w:val="center"/>
          </w:tcPr>
          <w:p w14:paraId="5E49C3C5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-0.48%</w:t>
            </w:r>
          </w:p>
        </w:tc>
        <w:tc>
          <w:tcPr>
            <w:tcW w:w="856" w:type="dxa"/>
            <w:vAlign w:val="center"/>
          </w:tcPr>
          <w:p w14:paraId="633765D2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16.42</w:t>
            </w:r>
          </w:p>
          <w:p w14:paraId="4EE85846" w14:textId="3BCE557B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3697A313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13.16%</w:t>
            </w:r>
          </w:p>
          <w:p w14:paraId="428F4AFF" w14:textId="4CF3023E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0E3D031D" w14:textId="55B762B7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62.46</w:t>
            </w:r>
          </w:p>
        </w:tc>
        <w:tc>
          <w:tcPr>
            <w:tcW w:w="1414" w:type="dxa"/>
            <w:vAlign w:val="center"/>
          </w:tcPr>
          <w:p w14:paraId="55AD2748" w14:textId="11AE556B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59.12%</w:t>
            </w:r>
          </w:p>
        </w:tc>
      </w:tr>
      <w:tr w:rsidR="002F7701" w14:paraId="0E5962B9" w14:textId="77777777" w:rsidTr="00CA1BBD">
        <w:trPr>
          <w:trHeight w:val="270"/>
        </w:trPr>
        <w:tc>
          <w:tcPr>
            <w:tcW w:w="1451" w:type="dxa"/>
            <w:vMerge w:val="restart"/>
            <w:vAlign w:val="center"/>
          </w:tcPr>
          <w:p w14:paraId="2988D500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DRX(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20, 5, 5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)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br/>
              <w:t>Pkt =0.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062</w:t>
            </w:r>
            <w:r w:rsidRPr="00ED0788">
              <w:rPr>
                <w:rFonts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center"/>
          </w:tcPr>
          <w:p w14:paraId="01601E5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Baseline</w:t>
            </w:r>
          </w:p>
        </w:tc>
        <w:tc>
          <w:tcPr>
            <w:tcW w:w="730" w:type="dxa"/>
            <w:vAlign w:val="center"/>
          </w:tcPr>
          <w:p w14:paraId="5F79CCE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8.42</w:t>
            </w:r>
          </w:p>
        </w:tc>
        <w:tc>
          <w:tcPr>
            <w:tcW w:w="1199" w:type="dxa"/>
            <w:vAlign w:val="center"/>
          </w:tcPr>
          <w:p w14:paraId="5EB74C3B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6" w:type="dxa"/>
            <w:vAlign w:val="center"/>
          </w:tcPr>
          <w:p w14:paraId="38F45837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6.46</w:t>
            </w:r>
          </w:p>
        </w:tc>
        <w:tc>
          <w:tcPr>
            <w:tcW w:w="1158" w:type="dxa"/>
            <w:vAlign w:val="center"/>
          </w:tcPr>
          <w:p w14:paraId="10E8F539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54144AD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192.82</w:t>
            </w:r>
          </w:p>
        </w:tc>
        <w:tc>
          <w:tcPr>
            <w:tcW w:w="1414" w:type="dxa"/>
            <w:vAlign w:val="center"/>
          </w:tcPr>
          <w:p w14:paraId="29892B93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F7701" w14:paraId="22D80FA4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162D0F27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59AB0AA2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1</w:t>
            </w:r>
          </w:p>
        </w:tc>
        <w:tc>
          <w:tcPr>
            <w:tcW w:w="730" w:type="dxa"/>
            <w:vAlign w:val="center"/>
          </w:tcPr>
          <w:p w14:paraId="11C3BCED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1D337BE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6B11F7F8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7.35</w:t>
            </w:r>
          </w:p>
          <w:p w14:paraId="5B263D44" w14:textId="0CCA2734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2C76E988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13.78%</w:t>
            </w:r>
          </w:p>
          <w:p w14:paraId="65093171" w14:textId="5D76DBD2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2CBAB0CA" w14:textId="770E5635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80.90</w:t>
            </w:r>
          </w:p>
        </w:tc>
        <w:tc>
          <w:tcPr>
            <w:tcW w:w="1414" w:type="dxa"/>
            <w:vAlign w:val="center"/>
          </w:tcPr>
          <w:p w14:paraId="111D0F13" w14:textId="446E7BED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58.04%</w:t>
            </w:r>
          </w:p>
        </w:tc>
      </w:tr>
      <w:tr w:rsidR="002F7701" w14:paraId="7172F233" w14:textId="77777777" w:rsidTr="00CA1BBD">
        <w:trPr>
          <w:trHeight w:val="270"/>
        </w:trPr>
        <w:tc>
          <w:tcPr>
            <w:tcW w:w="1451" w:type="dxa"/>
            <w:vMerge/>
            <w:vAlign w:val="center"/>
          </w:tcPr>
          <w:p w14:paraId="55DCC1D8" w14:textId="77777777" w:rsidR="002F7701" w:rsidRPr="00ED0788" w:rsidRDefault="002F7701" w:rsidP="00CA1BB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14:paraId="11056F50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Type 2</w:t>
            </w:r>
          </w:p>
        </w:tc>
        <w:tc>
          <w:tcPr>
            <w:tcW w:w="730" w:type="dxa"/>
            <w:vAlign w:val="center"/>
          </w:tcPr>
          <w:p w14:paraId="188BFC7F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8.34</w:t>
            </w:r>
          </w:p>
        </w:tc>
        <w:tc>
          <w:tcPr>
            <w:tcW w:w="1199" w:type="dxa"/>
            <w:vAlign w:val="center"/>
          </w:tcPr>
          <w:p w14:paraId="4D6262F6" w14:textId="77777777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-0.95%</w:t>
            </w:r>
          </w:p>
        </w:tc>
        <w:tc>
          <w:tcPr>
            <w:tcW w:w="856" w:type="dxa"/>
            <w:vAlign w:val="center"/>
          </w:tcPr>
          <w:p w14:paraId="7E6EC4E0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8.33</w:t>
            </w:r>
          </w:p>
          <w:p w14:paraId="527B5481" w14:textId="17EDA2EB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14:paraId="40929D66" w14:textId="77777777" w:rsidR="000724CD" w:rsidRPr="000724CD" w:rsidRDefault="000724CD" w:rsidP="000724C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0724CD">
              <w:rPr>
                <w:rFonts w:cs="Arial"/>
                <w:sz w:val="20"/>
                <w:szCs w:val="20"/>
              </w:rPr>
              <w:t>28.95%</w:t>
            </w:r>
          </w:p>
          <w:p w14:paraId="6065AA3C" w14:textId="321D77E2" w:rsidR="002F7701" w:rsidRPr="00ED0788" w:rsidRDefault="002F7701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14:paraId="3740A3AD" w14:textId="5E90E9F9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84.38</w:t>
            </w:r>
          </w:p>
        </w:tc>
        <w:tc>
          <w:tcPr>
            <w:tcW w:w="1414" w:type="dxa"/>
            <w:vAlign w:val="center"/>
          </w:tcPr>
          <w:p w14:paraId="45D4028F" w14:textId="58FD8578" w:rsidR="002F7701" w:rsidRPr="00ED0788" w:rsidRDefault="00A17469" w:rsidP="00CA1BBD">
            <w:pPr>
              <w:tabs>
                <w:tab w:val="left" w:pos="545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17469">
              <w:rPr>
                <w:rFonts w:cs="Arial"/>
                <w:sz w:val="20"/>
                <w:szCs w:val="20"/>
              </w:rPr>
              <w:t>56.24%</w:t>
            </w:r>
          </w:p>
        </w:tc>
      </w:tr>
    </w:tbl>
    <w:p w14:paraId="7420056D" w14:textId="77777777" w:rsidR="000C5BCD" w:rsidRPr="00ED0788" w:rsidRDefault="000C5BCD" w:rsidP="000C5BCD"/>
    <w:p w14:paraId="18DAFB30" w14:textId="5E15AC6F" w:rsidR="007B71D0" w:rsidRDefault="007B71D0" w:rsidP="00302084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Based on the evaluation results, we can see that t</w:t>
      </w:r>
      <w:r w:rsidRPr="007B71D0">
        <w:rPr>
          <w:rFonts w:eastAsiaTheme="minorEastAsia" w:cs="Arial"/>
          <w:sz w:val="22"/>
          <w:lang w:eastAsia="zh-CN"/>
        </w:rPr>
        <w:t xml:space="preserve">he power consumptions for Type 1 </w:t>
      </w:r>
      <w:r w:rsidR="00304725">
        <w:rPr>
          <w:rFonts w:eastAsiaTheme="minorEastAsia" w:cs="Arial"/>
          <w:sz w:val="22"/>
          <w:lang w:eastAsia="zh-CN"/>
        </w:rPr>
        <w:t>UE</w:t>
      </w:r>
      <w:r w:rsidRPr="007B71D0">
        <w:rPr>
          <w:rFonts w:eastAsiaTheme="minorEastAsia" w:cs="Arial"/>
          <w:sz w:val="22"/>
          <w:lang w:eastAsia="zh-CN"/>
        </w:rPr>
        <w:t xml:space="preserve"> and Type 2 </w:t>
      </w:r>
      <w:r w:rsidR="00304725">
        <w:rPr>
          <w:rFonts w:eastAsiaTheme="minorEastAsia" w:cs="Arial"/>
          <w:sz w:val="22"/>
          <w:lang w:eastAsia="zh-CN"/>
        </w:rPr>
        <w:t xml:space="preserve">UE </w:t>
      </w:r>
      <w:r w:rsidRPr="007B71D0">
        <w:rPr>
          <w:rFonts w:eastAsiaTheme="minorEastAsia" w:cs="Arial"/>
          <w:sz w:val="22"/>
          <w:lang w:eastAsia="zh-CN"/>
        </w:rPr>
        <w:t>are almost the same when all power saving features are jointly considered</w:t>
      </w:r>
      <w:r w:rsidR="00820102">
        <w:rPr>
          <w:rFonts w:eastAsiaTheme="minorEastAsia" w:cs="Arial"/>
          <w:sz w:val="22"/>
          <w:lang w:eastAsia="zh-CN"/>
        </w:rPr>
        <w:t xml:space="preserve">. Besides, comparing with the Type 2 UE, </w:t>
      </w:r>
      <w:r w:rsidR="0013617C">
        <w:rPr>
          <w:rFonts w:eastAsiaTheme="minorEastAsia" w:cs="Arial"/>
          <w:sz w:val="22"/>
          <w:lang w:eastAsia="zh-CN"/>
        </w:rPr>
        <w:t xml:space="preserve">the </w:t>
      </w:r>
      <w:r w:rsidR="00820102">
        <w:rPr>
          <w:rFonts w:eastAsiaTheme="minorEastAsia" w:cs="Arial"/>
          <w:sz w:val="22"/>
          <w:lang w:eastAsia="zh-CN"/>
        </w:rPr>
        <w:t xml:space="preserve">Type 1 UE </w:t>
      </w:r>
      <w:r w:rsidR="00820102" w:rsidRPr="00820102">
        <w:rPr>
          <w:rFonts w:eastAsiaTheme="minorEastAsia" w:cs="Arial"/>
          <w:sz w:val="22"/>
          <w:lang w:eastAsia="zh-CN"/>
        </w:rPr>
        <w:t xml:space="preserve">has better latency performance and </w:t>
      </w:r>
      <w:r w:rsidR="0013617C">
        <w:rPr>
          <w:rFonts w:eastAsiaTheme="minorEastAsia" w:cs="Arial"/>
          <w:sz w:val="22"/>
          <w:lang w:eastAsia="zh-CN"/>
        </w:rPr>
        <w:t xml:space="preserve">more </w:t>
      </w:r>
      <w:r w:rsidR="00820102" w:rsidRPr="00820102">
        <w:rPr>
          <w:rFonts w:eastAsiaTheme="minorEastAsia" w:cs="Arial"/>
          <w:sz w:val="22"/>
          <w:lang w:eastAsia="zh-CN"/>
        </w:rPr>
        <w:t>scheduling opportunity</w:t>
      </w:r>
      <w:r w:rsidR="00820102">
        <w:rPr>
          <w:rFonts w:eastAsiaTheme="minorEastAsia" w:cs="Arial"/>
          <w:sz w:val="22"/>
          <w:lang w:eastAsia="zh-CN"/>
        </w:rPr>
        <w:t>.</w:t>
      </w:r>
    </w:p>
    <w:p w14:paraId="37DB9937" w14:textId="505A5F5B" w:rsidR="00820102" w:rsidRDefault="007B71D0" w:rsidP="00B429B9">
      <w:pPr>
        <w:pStyle w:val="Caption"/>
        <w:rPr>
          <w:rFonts w:ascii="Arial" w:hAnsi="Arial" w:cs="Arial"/>
          <w:i/>
          <w:sz w:val="22"/>
          <w:szCs w:val="22"/>
        </w:rPr>
      </w:pPr>
      <w:bookmarkStart w:id="21" w:name="_Ref31836547"/>
      <w:r w:rsidRPr="0013617C">
        <w:rPr>
          <w:rFonts w:ascii="Arial" w:hAnsi="Arial" w:cs="Arial"/>
          <w:i/>
          <w:sz w:val="22"/>
          <w:szCs w:val="22"/>
        </w:rPr>
        <w:t xml:space="preserve">Observation </w:t>
      </w:r>
      <w:r w:rsidRPr="0013617C">
        <w:rPr>
          <w:rFonts w:ascii="Arial" w:hAnsi="Arial" w:cs="Arial"/>
          <w:i/>
          <w:sz w:val="22"/>
          <w:szCs w:val="22"/>
        </w:rPr>
        <w:fldChar w:fldCharType="begin"/>
      </w:r>
      <w:r w:rsidRPr="0013617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13617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4</w:t>
      </w:r>
      <w:r w:rsidRPr="0013617C">
        <w:rPr>
          <w:rFonts w:ascii="Arial" w:hAnsi="Arial" w:cs="Arial"/>
          <w:i/>
          <w:sz w:val="22"/>
          <w:szCs w:val="22"/>
        </w:rPr>
        <w:fldChar w:fldCharType="end"/>
      </w:r>
      <w:r w:rsidRPr="0013617C">
        <w:rPr>
          <w:rFonts w:ascii="Arial" w:hAnsi="Arial" w:cs="Arial"/>
          <w:i/>
          <w:sz w:val="22"/>
          <w:szCs w:val="22"/>
        </w:rPr>
        <w:t xml:space="preserve">: </w:t>
      </w:r>
      <w:r w:rsidR="00820102" w:rsidRPr="0013617C">
        <w:rPr>
          <w:rFonts w:ascii="Arial" w:hAnsi="Arial" w:cs="Arial"/>
          <w:i/>
          <w:sz w:val="22"/>
          <w:szCs w:val="22"/>
        </w:rPr>
        <w:t xml:space="preserve">Type 1 UE has </w:t>
      </w:r>
      <w:r w:rsidR="00820102">
        <w:rPr>
          <w:rFonts w:ascii="Arial" w:hAnsi="Arial" w:cs="Arial"/>
          <w:i/>
          <w:sz w:val="22"/>
          <w:szCs w:val="22"/>
        </w:rPr>
        <w:t>similar power saving gain with Type 2 UE</w:t>
      </w:r>
      <w:r w:rsidR="00EC1880">
        <w:rPr>
          <w:rFonts w:ascii="Arial" w:hAnsi="Arial" w:cs="Arial"/>
          <w:i/>
          <w:sz w:val="22"/>
          <w:szCs w:val="22"/>
        </w:rPr>
        <w:t xml:space="preserve">, </w:t>
      </w:r>
      <w:r w:rsidR="00EC1880" w:rsidRPr="00EC1880">
        <w:rPr>
          <w:rFonts w:ascii="Arial" w:hAnsi="Arial" w:cs="Arial"/>
          <w:i/>
          <w:sz w:val="22"/>
          <w:szCs w:val="22"/>
        </w:rPr>
        <w:t>whereas</w:t>
      </w:r>
      <w:r w:rsidR="00820102">
        <w:rPr>
          <w:rFonts w:ascii="Arial" w:hAnsi="Arial" w:cs="Arial"/>
          <w:i/>
          <w:sz w:val="22"/>
          <w:szCs w:val="22"/>
        </w:rPr>
        <w:t xml:space="preserve"> it has </w:t>
      </w:r>
      <w:r w:rsidR="00820102" w:rsidRPr="0013617C">
        <w:rPr>
          <w:rFonts w:ascii="Arial" w:hAnsi="Arial" w:cs="Arial"/>
          <w:i/>
          <w:sz w:val="22"/>
          <w:szCs w:val="22"/>
        </w:rPr>
        <w:t xml:space="preserve">better latency performance and </w:t>
      </w:r>
      <w:r w:rsidR="0013617C">
        <w:rPr>
          <w:rFonts w:ascii="Arial" w:hAnsi="Arial" w:cs="Arial"/>
          <w:i/>
          <w:sz w:val="22"/>
          <w:szCs w:val="22"/>
        </w:rPr>
        <w:t xml:space="preserve">more </w:t>
      </w:r>
      <w:r w:rsidR="00820102" w:rsidRPr="0013617C">
        <w:rPr>
          <w:rFonts w:ascii="Arial" w:hAnsi="Arial" w:cs="Arial"/>
          <w:i/>
          <w:sz w:val="22"/>
          <w:szCs w:val="22"/>
        </w:rPr>
        <w:t xml:space="preserve">scheduling opportunity when </w:t>
      </w:r>
      <w:r w:rsidR="00820102">
        <w:rPr>
          <w:rFonts w:ascii="Arial" w:hAnsi="Arial" w:cs="Arial"/>
          <w:i/>
          <w:sz w:val="22"/>
          <w:szCs w:val="22"/>
        </w:rPr>
        <w:t xml:space="preserve">all </w:t>
      </w:r>
      <w:r w:rsidR="00CA1BBD">
        <w:rPr>
          <w:rFonts w:ascii="Arial" w:hAnsi="Arial" w:cs="Arial"/>
          <w:i/>
          <w:sz w:val="22"/>
          <w:szCs w:val="22"/>
        </w:rPr>
        <w:t>power saving</w:t>
      </w:r>
      <w:r w:rsidR="00820102" w:rsidRPr="0013617C">
        <w:rPr>
          <w:rFonts w:ascii="Arial" w:hAnsi="Arial" w:cs="Arial"/>
          <w:i/>
          <w:sz w:val="22"/>
          <w:szCs w:val="22"/>
        </w:rPr>
        <w:t xml:space="preserve"> related features</w:t>
      </w:r>
      <w:r w:rsidR="00820102">
        <w:rPr>
          <w:rFonts w:ascii="Arial" w:hAnsi="Arial" w:cs="Arial"/>
          <w:i/>
          <w:sz w:val="22"/>
          <w:szCs w:val="22"/>
        </w:rPr>
        <w:t xml:space="preserve">: </w:t>
      </w:r>
      <w:r w:rsidR="00820102" w:rsidRPr="00BD00D8">
        <w:rPr>
          <w:rFonts w:ascii="Arial" w:hAnsi="Arial" w:cs="Arial"/>
          <w:i/>
          <w:sz w:val="22"/>
          <w:szCs w:val="22"/>
        </w:rPr>
        <w:t>MIMO layer adaptation, cross-slot scheduling, and SCell dormancy behavio</w:t>
      </w:r>
      <w:r w:rsidR="0013617C">
        <w:rPr>
          <w:rFonts w:ascii="Arial" w:hAnsi="Arial" w:cs="Arial"/>
          <w:i/>
          <w:sz w:val="22"/>
          <w:szCs w:val="22"/>
        </w:rPr>
        <w:t>u</w:t>
      </w:r>
      <w:r w:rsidR="00820102" w:rsidRPr="00BD00D8">
        <w:rPr>
          <w:rFonts w:ascii="Arial" w:hAnsi="Arial" w:cs="Arial"/>
          <w:i/>
          <w:sz w:val="22"/>
          <w:szCs w:val="22"/>
        </w:rPr>
        <w:t>r</w:t>
      </w:r>
      <w:r w:rsidR="00820102" w:rsidRPr="0013617C">
        <w:rPr>
          <w:rFonts w:ascii="Arial" w:hAnsi="Arial" w:cs="Arial"/>
          <w:i/>
          <w:sz w:val="22"/>
          <w:szCs w:val="22"/>
        </w:rPr>
        <w:t xml:space="preserve"> are jointly considered</w:t>
      </w:r>
      <w:r w:rsidR="00820102">
        <w:rPr>
          <w:rFonts w:ascii="Arial" w:hAnsi="Arial" w:cs="Arial"/>
          <w:i/>
          <w:sz w:val="22"/>
          <w:szCs w:val="22"/>
        </w:rPr>
        <w:t>.</w:t>
      </w:r>
      <w:bookmarkEnd w:id="21"/>
    </w:p>
    <w:p w14:paraId="3B6FC731" w14:textId="77777777" w:rsidR="0080524D" w:rsidRDefault="0080524D" w:rsidP="0013617C"/>
    <w:p w14:paraId="6DA1B438" w14:textId="002CB55B" w:rsidR="00EC1880" w:rsidRPr="0013617C" w:rsidRDefault="00EC1880" w:rsidP="00EC1880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color w:val="000000" w:themeColor="text1"/>
          <w:sz w:val="22"/>
          <w:lang w:eastAsia="zh-CN"/>
        </w:rPr>
      </w:pPr>
      <w:r w:rsidRPr="0013617C">
        <w:rPr>
          <w:rFonts w:eastAsiaTheme="minorEastAsia" w:cs="Arial"/>
          <w:color w:val="000000" w:themeColor="text1"/>
          <w:sz w:val="22"/>
          <w:lang w:eastAsia="zh-TW"/>
        </w:rPr>
        <w:lastRenderedPageBreak/>
        <w:t xml:space="preserve">In RAN4 #93 meeting, 3 options </w:t>
      </w:r>
      <w:r>
        <w:rPr>
          <w:rFonts w:eastAsiaTheme="minorEastAsia" w:cs="Arial"/>
          <w:color w:val="000000" w:themeColor="text1"/>
          <w:sz w:val="22"/>
          <w:lang w:eastAsia="zh-TW"/>
        </w:rPr>
        <w:t xml:space="preserve">for case 2 MIMO layer adaptation </w:t>
      </w:r>
      <w:r w:rsidRPr="0013617C">
        <w:rPr>
          <w:rFonts w:eastAsiaTheme="minorEastAsia" w:cs="Arial"/>
          <w:color w:val="000000" w:themeColor="text1"/>
          <w:sz w:val="22"/>
          <w:lang w:eastAsia="zh-TW"/>
        </w:rPr>
        <w:t xml:space="preserve">were </w:t>
      </w:r>
      <w:r>
        <w:rPr>
          <w:rFonts w:eastAsiaTheme="minorEastAsia" w:cs="Arial"/>
          <w:color w:val="000000" w:themeColor="text1"/>
          <w:sz w:val="22"/>
          <w:lang w:eastAsia="zh-TW"/>
        </w:rPr>
        <w:t>considered</w:t>
      </w:r>
      <w:r w:rsidRPr="0013617C">
        <w:rPr>
          <w:rFonts w:eastAsiaTheme="minorEastAsia" w:cs="Arial"/>
          <w:color w:val="000000" w:themeColor="text1"/>
          <w:sz w:val="22"/>
          <w:lang w:eastAsia="zh-TW"/>
        </w:rPr>
        <w:t xml:space="preserve"> as follows:</w:t>
      </w:r>
      <w:r w:rsidRPr="0013617C">
        <w:rPr>
          <w:rFonts w:eastAsiaTheme="minorEastAsia" w:cs="Arial"/>
          <w:color w:val="000000" w:themeColor="text1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EC1880" w:rsidRPr="0013617C" w14:paraId="2364C012" w14:textId="77777777" w:rsidTr="00CA1BBD">
        <w:trPr>
          <w:jc w:val="center"/>
        </w:trPr>
        <w:tc>
          <w:tcPr>
            <w:tcW w:w="9619" w:type="dxa"/>
          </w:tcPr>
          <w:p w14:paraId="6F8BB48A" w14:textId="77777777" w:rsidR="00EC1880" w:rsidRPr="0013617C" w:rsidRDefault="00EC1880" w:rsidP="00CA1BBD">
            <w:pPr>
              <w:pStyle w:val="Doc-text2"/>
              <w:tabs>
                <w:tab w:val="left" w:pos="340"/>
              </w:tabs>
              <w:spacing w:before="120" w:after="120"/>
              <w:ind w:left="0" w:firstLine="0"/>
              <w:rPr>
                <w:rFonts w:ascii="Times New Roman" w:eastAsia="SimSun" w:hAnsi="Times New Roman" w:cs="Times New Roman"/>
                <w:bCs/>
                <w:color w:val="000000" w:themeColor="text1"/>
                <w:szCs w:val="20"/>
                <w:lang w:val="en-GB" w:eastAsia="zh-TW"/>
              </w:rPr>
            </w:pPr>
            <w:r w:rsidRPr="0013617C">
              <w:rPr>
                <w:rFonts w:ascii="Times New Roman" w:eastAsia="SimSun" w:hAnsi="Times New Roman" w:cs="Times New Roman"/>
                <w:bCs/>
                <w:color w:val="000000" w:themeColor="text1"/>
                <w:szCs w:val="20"/>
                <w:lang w:val="en-GB" w:eastAsia="zh-TW"/>
              </w:rPr>
              <w:t xml:space="preserve">Option 1: Defining the type 1 requirements as minimum requirements for case 2 </w:t>
            </w:r>
          </w:p>
          <w:p w14:paraId="5D99F70F" w14:textId="77777777" w:rsidR="00EC1880" w:rsidRPr="0013617C" w:rsidRDefault="00EC1880" w:rsidP="00CA1BBD">
            <w:pPr>
              <w:pStyle w:val="Doc-text2"/>
              <w:tabs>
                <w:tab w:val="left" w:pos="340"/>
              </w:tabs>
              <w:spacing w:before="120" w:after="120"/>
              <w:ind w:left="0" w:firstLine="0"/>
              <w:rPr>
                <w:rFonts w:ascii="Times New Roman" w:eastAsia="SimSun" w:hAnsi="Times New Roman" w:cs="Times New Roman"/>
                <w:bCs/>
                <w:color w:val="000000" w:themeColor="text1"/>
                <w:szCs w:val="20"/>
                <w:lang w:val="en-GB" w:eastAsia="zh-TW"/>
              </w:rPr>
            </w:pPr>
            <w:r w:rsidRPr="0013617C">
              <w:rPr>
                <w:rFonts w:ascii="Times New Roman" w:eastAsia="SimSun" w:hAnsi="Times New Roman" w:cs="Times New Roman"/>
                <w:bCs/>
                <w:color w:val="000000" w:themeColor="text1"/>
                <w:szCs w:val="20"/>
                <w:lang w:val="en-GB" w:eastAsia="zh-TW"/>
              </w:rPr>
              <w:t xml:space="preserve">Option 2: UE either meet Type 1 requirements for case 1 and case 2 or type 2 requirements for case 1 and case 2 </w:t>
            </w:r>
          </w:p>
          <w:p w14:paraId="76A7EE10" w14:textId="77777777" w:rsidR="00EC1880" w:rsidRPr="0013617C" w:rsidRDefault="00EC1880" w:rsidP="00CA1BB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13617C">
              <w:rPr>
                <w:rFonts w:ascii="Times New Roman" w:eastAsia="SimSun" w:hAnsi="Times New Roman" w:cs="Times New Roman"/>
                <w:bCs/>
                <w:color w:val="000000" w:themeColor="text1"/>
                <w:sz w:val="20"/>
                <w:szCs w:val="20"/>
                <w:lang w:val="en-GB"/>
              </w:rPr>
              <w:t>Option 3: Introduce the requirements based on UE capability</w:t>
            </w:r>
          </w:p>
        </w:tc>
      </w:tr>
    </w:tbl>
    <w:p w14:paraId="542E2002" w14:textId="77777777" w:rsidR="00EC1880" w:rsidRDefault="00EC1880" w:rsidP="0013617C">
      <w:pPr>
        <w:rPr>
          <w:rFonts w:ascii="Arial" w:hAnsi="Arial" w:cs="Arial"/>
          <w:color w:val="000000" w:themeColor="text1"/>
        </w:rPr>
      </w:pPr>
    </w:p>
    <w:p w14:paraId="024FD282" w14:textId="59E88807" w:rsidR="0080524D" w:rsidRPr="000B431E" w:rsidRDefault="00EC1880" w:rsidP="000B431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To our understanding, companies object option 3</w:t>
      </w:r>
      <w:r w:rsidRPr="0013617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because </w:t>
      </w:r>
      <w:r w:rsidR="00CA1BBD">
        <w:rPr>
          <w:rFonts w:ascii="Arial" w:hAnsi="Arial" w:cs="Arial"/>
          <w:color w:val="000000" w:themeColor="text1"/>
        </w:rPr>
        <w:t xml:space="preserve">now </w:t>
      </w:r>
      <w:r>
        <w:rPr>
          <w:rFonts w:ascii="Arial" w:hAnsi="Arial" w:cs="Arial"/>
          <w:color w:val="000000" w:themeColor="text1"/>
        </w:rPr>
        <w:t xml:space="preserve">there </w:t>
      </w:r>
      <w:r w:rsidR="0080524D">
        <w:rPr>
          <w:rFonts w:ascii="Arial" w:hAnsi="Arial" w:cs="Arial"/>
          <w:color w:val="000000" w:themeColor="text1"/>
        </w:rPr>
        <w:t xml:space="preserve">are </w:t>
      </w:r>
      <w:r>
        <w:rPr>
          <w:rFonts w:ascii="Arial" w:hAnsi="Arial" w:cs="Arial"/>
          <w:color w:val="000000" w:themeColor="text1"/>
        </w:rPr>
        <w:t>too many UE capabilit</w:t>
      </w:r>
      <w:r w:rsidR="00304725">
        <w:rPr>
          <w:rFonts w:ascii="Arial" w:hAnsi="Arial" w:cs="Arial"/>
          <w:color w:val="000000" w:themeColor="text1"/>
        </w:rPr>
        <w:t>ies</w:t>
      </w:r>
      <w:r>
        <w:rPr>
          <w:rFonts w:ascii="Arial" w:hAnsi="Arial" w:cs="Arial"/>
          <w:color w:val="000000" w:themeColor="text1"/>
        </w:rPr>
        <w:t xml:space="preserve"> in Rel-15 and Rel-16 already. It is too complicated for Network to handle so many different UE capabilities in the real field. </w:t>
      </w:r>
      <w:r w:rsidR="00CA1BBD">
        <w:rPr>
          <w:rFonts w:ascii="Arial" w:hAnsi="Arial" w:cs="Arial"/>
          <w:color w:val="000000" w:themeColor="text1"/>
        </w:rPr>
        <w:t xml:space="preserve">However, from UE perspective, it is also possible that </w:t>
      </w:r>
      <w:r w:rsidR="00CA1BBD" w:rsidRPr="00CA1BBD">
        <w:rPr>
          <w:rFonts w:ascii="Arial" w:hAnsi="Arial" w:cs="Arial"/>
          <w:color w:val="000000" w:themeColor="text1"/>
        </w:rPr>
        <w:t>all power saving related features</w:t>
      </w:r>
      <w:r w:rsidR="00CA1BBD">
        <w:rPr>
          <w:rFonts w:ascii="Arial" w:hAnsi="Arial" w:cs="Arial"/>
          <w:color w:val="000000" w:themeColor="text1"/>
        </w:rPr>
        <w:t xml:space="preserve"> share the same UE capability and we already see the benefit from our evaluation results</w:t>
      </w:r>
      <w:r w:rsidR="0080524D">
        <w:rPr>
          <w:rFonts w:ascii="Arial" w:hAnsi="Arial" w:cs="Arial"/>
          <w:color w:val="000000" w:themeColor="text1"/>
        </w:rPr>
        <w:t xml:space="preserve">: </w:t>
      </w:r>
      <w:r w:rsidR="0080524D" w:rsidRPr="000B431E">
        <w:rPr>
          <w:rFonts w:ascii="Arial" w:hAnsi="Arial" w:cs="Arial"/>
          <w:color w:val="000000" w:themeColor="text1"/>
        </w:rPr>
        <w:t>When we compare the results with MIMO layer adaption only (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_Ref23783377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1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 xml:space="preserve">, 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_Ref23783385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2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 xml:space="preserve"> and 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_Ref23783468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3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>) with the results with all power saving features (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_Ref31833317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4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 xml:space="preserve">, 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_Ref31833325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5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 xml:space="preserve"> and </w:t>
      </w:r>
      <w:r w:rsidR="0080524D" w:rsidRPr="000B431E">
        <w:rPr>
          <w:rFonts w:ascii="Arial" w:hAnsi="Arial" w:cs="Arial"/>
          <w:color w:val="000000" w:themeColor="text1"/>
        </w:rPr>
        <w:fldChar w:fldCharType="begin"/>
      </w:r>
      <w:r w:rsidR="0080524D" w:rsidRPr="000B431E">
        <w:rPr>
          <w:rFonts w:ascii="Arial" w:hAnsi="Arial" w:cs="Arial"/>
          <w:color w:val="000000" w:themeColor="text1"/>
        </w:rPr>
        <w:instrText xml:space="preserve"> REF _Ref31833402 \h </w:instrText>
      </w:r>
      <w:r w:rsidR="0080524D">
        <w:rPr>
          <w:rFonts w:ascii="Arial" w:hAnsi="Arial" w:cs="Arial"/>
          <w:color w:val="000000" w:themeColor="text1"/>
        </w:rPr>
        <w:instrText xml:space="preserve"> \* MERGEFORMAT </w:instrText>
      </w:r>
      <w:r w:rsidR="0080524D" w:rsidRPr="000B431E">
        <w:rPr>
          <w:rFonts w:ascii="Arial" w:hAnsi="Arial" w:cs="Arial"/>
          <w:color w:val="000000" w:themeColor="text1"/>
        </w:rPr>
      </w:r>
      <w:r w:rsidR="0080524D" w:rsidRPr="000B431E">
        <w:rPr>
          <w:rFonts w:ascii="Arial" w:hAnsi="Arial" w:cs="Arial"/>
          <w:color w:val="000000" w:themeColor="text1"/>
        </w:rPr>
        <w:fldChar w:fldCharType="separate"/>
      </w:r>
      <w:r w:rsidR="00C151DD" w:rsidRPr="00C151DD">
        <w:rPr>
          <w:rFonts w:ascii="Arial" w:hAnsi="Arial" w:cs="Arial"/>
          <w:color w:val="000000" w:themeColor="text1"/>
        </w:rPr>
        <w:t>Table 6</w:t>
      </w:r>
      <w:r w:rsidR="0080524D" w:rsidRPr="000B431E">
        <w:rPr>
          <w:rFonts w:ascii="Arial" w:hAnsi="Arial" w:cs="Arial"/>
          <w:color w:val="000000" w:themeColor="text1"/>
        </w:rPr>
        <w:fldChar w:fldCharType="end"/>
      </w:r>
      <w:r w:rsidR="0080524D" w:rsidRPr="000B431E">
        <w:rPr>
          <w:rFonts w:ascii="Arial" w:hAnsi="Arial" w:cs="Arial"/>
          <w:color w:val="000000" w:themeColor="text1"/>
        </w:rPr>
        <w:t xml:space="preserve">), we see up to 10% additional power saving gain in FR1 and 40% in FR2. </w:t>
      </w:r>
    </w:p>
    <w:p w14:paraId="0005AFB9" w14:textId="7FB112AE" w:rsidR="00CA1BBD" w:rsidRDefault="00CA1BBD" w:rsidP="00F10EFC">
      <w:pPr>
        <w:jc w:val="both"/>
        <w:rPr>
          <w:rFonts w:ascii="Arial" w:hAnsi="Arial" w:cs="Arial"/>
          <w:color w:val="000000" w:themeColor="text1"/>
        </w:rPr>
      </w:pPr>
    </w:p>
    <w:p w14:paraId="71E41016" w14:textId="54C9277F" w:rsidR="006E3DEE" w:rsidRPr="00F10EFC" w:rsidRDefault="006E3DEE" w:rsidP="00F10EFC">
      <w:pPr>
        <w:pStyle w:val="Caption"/>
        <w:rPr>
          <w:rFonts w:ascii="Arial" w:hAnsi="Arial" w:cs="Arial"/>
          <w:i/>
          <w:sz w:val="22"/>
          <w:szCs w:val="22"/>
        </w:rPr>
      </w:pPr>
      <w:bookmarkStart w:id="22" w:name="_Ref32237401"/>
      <w:r w:rsidRPr="00F10EFC">
        <w:rPr>
          <w:rFonts w:ascii="Arial" w:hAnsi="Arial" w:cs="Arial"/>
          <w:i/>
          <w:sz w:val="22"/>
          <w:szCs w:val="22"/>
        </w:rPr>
        <w:t xml:space="preserve">Observation </w:t>
      </w:r>
      <w:r w:rsidRPr="00F10EFC">
        <w:rPr>
          <w:rFonts w:ascii="Arial" w:hAnsi="Arial" w:cs="Arial"/>
          <w:i/>
          <w:sz w:val="22"/>
          <w:szCs w:val="22"/>
        </w:rPr>
        <w:fldChar w:fldCharType="begin"/>
      </w:r>
      <w:r w:rsidRPr="00F10EFC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F10EF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5</w:t>
      </w:r>
      <w:r w:rsidRPr="00F10EFC">
        <w:rPr>
          <w:rFonts w:ascii="Arial" w:hAnsi="Arial" w:cs="Arial"/>
          <w:i/>
          <w:sz w:val="22"/>
          <w:szCs w:val="22"/>
        </w:rPr>
        <w:fldChar w:fldCharType="end"/>
      </w:r>
      <w:r w:rsidRPr="00F10EFC">
        <w:rPr>
          <w:rFonts w:ascii="Arial" w:hAnsi="Arial" w:cs="Arial"/>
          <w:i/>
          <w:sz w:val="22"/>
          <w:szCs w:val="22"/>
        </w:rPr>
        <w:t xml:space="preserve">: </w:t>
      </w:r>
      <w:r w:rsidR="00DE59CD" w:rsidRPr="00F10EFC">
        <w:rPr>
          <w:rFonts w:ascii="Arial" w:hAnsi="Arial" w:cs="Arial"/>
          <w:i/>
          <w:sz w:val="22"/>
          <w:szCs w:val="22"/>
        </w:rPr>
        <w:t xml:space="preserve">There are up to 10% additional power saving gain in FR1 and 40% in FR2 </w:t>
      </w:r>
      <w:r w:rsidR="00DE59CD" w:rsidRPr="0013617C">
        <w:rPr>
          <w:rFonts w:ascii="Arial" w:hAnsi="Arial" w:cs="Arial"/>
          <w:i/>
          <w:sz w:val="22"/>
          <w:szCs w:val="22"/>
        </w:rPr>
        <w:t xml:space="preserve">when </w:t>
      </w:r>
      <w:r w:rsidR="00DE59CD">
        <w:rPr>
          <w:rFonts w:ascii="Arial" w:hAnsi="Arial" w:cs="Arial"/>
          <w:i/>
          <w:sz w:val="22"/>
          <w:szCs w:val="22"/>
        </w:rPr>
        <w:t>all power saving</w:t>
      </w:r>
      <w:r w:rsidR="00DE59CD" w:rsidRPr="0013617C">
        <w:rPr>
          <w:rFonts w:ascii="Arial" w:hAnsi="Arial" w:cs="Arial"/>
          <w:i/>
          <w:sz w:val="22"/>
          <w:szCs w:val="22"/>
        </w:rPr>
        <w:t xml:space="preserve"> related features</w:t>
      </w:r>
      <w:r w:rsidR="00DE59CD">
        <w:rPr>
          <w:rFonts w:ascii="Arial" w:hAnsi="Arial" w:cs="Arial"/>
          <w:i/>
          <w:sz w:val="22"/>
          <w:szCs w:val="22"/>
        </w:rPr>
        <w:t xml:space="preserve">: </w:t>
      </w:r>
      <w:r w:rsidR="00DE59CD" w:rsidRPr="00BD00D8">
        <w:rPr>
          <w:rFonts w:ascii="Arial" w:hAnsi="Arial" w:cs="Arial"/>
          <w:i/>
          <w:sz w:val="22"/>
          <w:szCs w:val="22"/>
        </w:rPr>
        <w:t>MIMO layer adaptation, cross-slot scheduling, and SCell dormancy behavio</w:t>
      </w:r>
      <w:r w:rsidR="00DE59CD">
        <w:rPr>
          <w:rFonts w:ascii="Arial" w:hAnsi="Arial" w:cs="Arial"/>
          <w:i/>
          <w:sz w:val="22"/>
          <w:szCs w:val="22"/>
        </w:rPr>
        <w:t>u</w:t>
      </w:r>
      <w:r w:rsidR="00DE59CD" w:rsidRPr="00BD00D8">
        <w:rPr>
          <w:rFonts w:ascii="Arial" w:hAnsi="Arial" w:cs="Arial"/>
          <w:i/>
          <w:sz w:val="22"/>
          <w:szCs w:val="22"/>
        </w:rPr>
        <w:t>r</w:t>
      </w:r>
      <w:r w:rsidR="00DE59CD" w:rsidRPr="0013617C">
        <w:rPr>
          <w:rFonts w:ascii="Arial" w:hAnsi="Arial" w:cs="Arial"/>
          <w:i/>
          <w:sz w:val="22"/>
          <w:szCs w:val="22"/>
        </w:rPr>
        <w:t xml:space="preserve"> are jointly considered</w:t>
      </w:r>
      <w:r w:rsidR="00DE59CD">
        <w:rPr>
          <w:rFonts w:ascii="Arial" w:hAnsi="Arial" w:cs="Arial"/>
          <w:i/>
          <w:sz w:val="22"/>
          <w:szCs w:val="22"/>
        </w:rPr>
        <w:t>.</w:t>
      </w:r>
      <w:bookmarkEnd w:id="22"/>
    </w:p>
    <w:p w14:paraId="0B3AE64C" w14:textId="55B99D4D" w:rsidR="00EC1880" w:rsidRPr="0013617C" w:rsidRDefault="00CA1BBD" w:rsidP="0013617C">
      <w:pPr>
        <w:pStyle w:val="Caption"/>
        <w:rPr>
          <w:rFonts w:ascii="Arial" w:hAnsi="Arial" w:cs="Arial"/>
          <w:i/>
          <w:sz w:val="22"/>
          <w:szCs w:val="22"/>
        </w:rPr>
      </w:pPr>
      <w:bookmarkStart w:id="23" w:name="_Ref31836529"/>
      <w:r w:rsidRPr="0013617C">
        <w:rPr>
          <w:rFonts w:ascii="Arial" w:hAnsi="Arial" w:cs="Arial"/>
          <w:i/>
          <w:sz w:val="22"/>
          <w:szCs w:val="22"/>
        </w:rPr>
        <w:t xml:space="preserve">Proposal </w:t>
      </w:r>
      <w:r w:rsidRPr="0013617C">
        <w:rPr>
          <w:rFonts w:ascii="Arial" w:hAnsi="Arial" w:cs="Arial"/>
          <w:i/>
          <w:sz w:val="22"/>
          <w:szCs w:val="22"/>
        </w:rPr>
        <w:fldChar w:fldCharType="begin"/>
      </w:r>
      <w:r w:rsidRPr="0013617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3617C">
        <w:rPr>
          <w:rFonts w:ascii="Arial" w:hAnsi="Arial" w:cs="Arial"/>
          <w:i/>
          <w:sz w:val="22"/>
          <w:szCs w:val="22"/>
        </w:rPr>
        <w:fldChar w:fldCharType="separate"/>
      </w:r>
      <w:r w:rsidR="00C151DD">
        <w:rPr>
          <w:rFonts w:ascii="Arial" w:hAnsi="Arial" w:cs="Arial"/>
          <w:i/>
          <w:noProof/>
          <w:sz w:val="22"/>
          <w:szCs w:val="22"/>
        </w:rPr>
        <w:t>2</w:t>
      </w:r>
      <w:r w:rsidRPr="0013617C">
        <w:rPr>
          <w:rFonts w:ascii="Arial" w:hAnsi="Arial" w:cs="Arial"/>
          <w:i/>
          <w:sz w:val="22"/>
          <w:szCs w:val="22"/>
        </w:rPr>
        <w:fldChar w:fldCharType="end"/>
      </w:r>
      <w:r w:rsidR="00F10EFC">
        <w:rPr>
          <w:rFonts w:ascii="Arial" w:hAnsi="Arial" w:cs="Arial"/>
          <w:i/>
          <w:sz w:val="22"/>
          <w:szCs w:val="22"/>
        </w:rPr>
        <w:t xml:space="preserve">: </w:t>
      </w:r>
      <w:bookmarkEnd w:id="23"/>
      <w:r w:rsidR="00C151DD" w:rsidRPr="00C151DD">
        <w:rPr>
          <w:rFonts w:ascii="Arial" w:hAnsi="Arial" w:cs="Arial"/>
          <w:i/>
          <w:sz w:val="22"/>
          <w:szCs w:val="22"/>
        </w:rPr>
        <w:t>Introduce one single new UE capability including all power saving related features that adopts BWP framework (MIMO layer adaptation, cross-slot scheduling, and SCell dormancy behaviour) in order to achieve the faster switching time, the better latency performance, and obtain more scheduling opportunity.</w:t>
      </w:r>
    </w:p>
    <w:bookmarkEnd w:id="0"/>
    <w:bookmarkEnd w:id="1"/>
    <w:bookmarkEnd w:id="3"/>
    <w:bookmarkEnd w:id="4"/>
    <w:bookmarkEnd w:id="5"/>
    <w:bookmarkEnd w:id="6"/>
    <w:bookmarkEnd w:id="18"/>
    <w:p w14:paraId="3D0DE51E" w14:textId="2CF3CDFF" w:rsidR="00B0627C" w:rsidRPr="009F29FB" w:rsidRDefault="001965A3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91B93A0" w14:textId="16D6D539" w:rsidR="00B0627C" w:rsidRDefault="00B0627C" w:rsidP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 have the following observations:</w:t>
      </w:r>
    </w:p>
    <w:p w14:paraId="1E227EF2" w14:textId="17946BF6" w:rsidR="0013617C" w:rsidRDefault="0013617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_Ref31836701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>Observation 1: The latency performance for Type 1 UE is better than that for Type 2 UE. The difference can be up to 17.7% in FR1 and 15.2% in FR2.</w:t>
      </w:r>
      <w:r>
        <w:rPr>
          <w:rFonts w:eastAsia="SimSun" w:cs="Arial"/>
          <w:b/>
          <w:i/>
          <w:sz w:val="22"/>
        </w:rPr>
        <w:fldChar w:fldCharType="end"/>
      </w:r>
    </w:p>
    <w:p w14:paraId="0FD2A230" w14:textId="433521B8" w:rsidR="0013617C" w:rsidRDefault="0013617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_Ref31836705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>Observation 2: The power saving gain for Type 2 UE is slightly better than that for Type 1 UE. The difference can be up to 2% in FR1 and up to 2.5% in FR2.</w:t>
      </w:r>
      <w:r>
        <w:rPr>
          <w:rFonts w:eastAsia="SimSun" w:cs="Arial"/>
          <w:b/>
          <w:i/>
          <w:sz w:val="22"/>
        </w:rPr>
        <w:fldChar w:fldCharType="end"/>
      </w:r>
    </w:p>
    <w:p w14:paraId="7D5D15BF" w14:textId="61F6C719" w:rsidR="0013617C" w:rsidRDefault="0013617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_Ref31836540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>Observation 3: The Type 2 UE can achieve the higher power saving gain due to longer period with scheduling restriction, which however reduces the network scheduling flexibility.</w:t>
      </w:r>
      <w:r>
        <w:rPr>
          <w:rFonts w:eastAsia="SimSun" w:cs="Arial"/>
          <w:b/>
          <w:i/>
          <w:sz w:val="22"/>
        </w:rPr>
        <w:fldChar w:fldCharType="end"/>
      </w:r>
    </w:p>
    <w:p w14:paraId="48D8FA76" w14:textId="7FA7B609" w:rsidR="0013617C" w:rsidRDefault="0013617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_Ref31836547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>Observation 4: Type 1 UE has similar power saving gain with Type 2 UE, whereas it has better latency performance and more scheduling opportunity when all power saving related features: MIMO layer adaptation, cross-slot scheduling, and SCell dormancy behaviour are jointly considered.</w:t>
      </w:r>
      <w:r>
        <w:rPr>
          <w:rFonts w:eastAsia="SimSun" w:cs="Arial"/>
          <w:b/>
          <w:i/>
          <w:sz w:val="22"/>
        </w:rPr>
        <w:fldChar w:fldCharType="end"/>
      </w:r>
    </w:p>
    <w:p w14:paraId="7518B811" w14:textId="65833B1E" w:rsidR="0013617C" w:rsidRPr="00F10EFC" w:rsidRDefault="00740176" w:rsidP="0013617C">
      <w:pPr>
        <w:rPr>
          <w:rFonts w:ascii="Arial" w:eastAsia="SimSun" w:hAnsi="Arial" w:cs="Arial"/>
          <w:b/>
          <w:i/>
        </w:rPr>
      </w:pPr>
      <w:r w:rsidRPr="00F10EFC">
        <w:rPr>
          <w:rFonts w:ascii="Arial" w:eastAsia="SimSun" w:hAnsi="Arial" w:cs="Arial"/>
          <w:b/>
          <w:i/>
        </w:rPr>
        <w:fldChar w:fldCharType="begin"/>
      </w:r>
      <w:r w:rsidRPr="00F10EFC">
        <w:rPr>
          <w:rFonts w:ascii="Arial" w:eastAsia="SimSun" w:hAnsi="Arial" w:cs="Arial"/>
          <w:b/>
          <w:i/>
        </w:rPr>
        <w:instrText xml:space="preserve"> REF _Ref32237401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F10EFC">
        <w:rPr>
          <w:rFonts w:ascii="Arial" w:eastAsia="SimSun" w:hAnsi="Arial" w:cs="Arial"/>
          <w:b/>
          <w:i/>
        </w:rPr>
      </w:r>
      <w:r w:rsidRPr="00F10EFC">
        <w:rPr>
          <w:rFonts w:ascii="Arial" w:eastAsia="SimSun" w:hAnsi="Arial" w:cs="Arial"/>
          <w:b/>
          <w:i/>
        </w:rPr>
        <w:fldChar w:fldCharType="separate"/>
      </w:r>
      <w:r w:rsidR="00C151DD" w:rsidRPr="00C151DD">
        <w:rPr>
          <w:rFonts w:ascii="Arial" w:eastAsia="SimSun" w:hAnsi="Arial" w:cs="Arial"/>
          <w:b/>
          <w:i/>
        </w:rPr>
        <w:t>Observation 5: There are up to 10% additional power saving gain in FR1 and 40% in FR2 when all power saving related features: MIMO layer adaptation, cross-slot scheduling, and SCell dormancy behaviour are jointly considered.</w:t>
      </w:r>
      <w:r w:rsidRPr="00F10EFC">
        <w:rPr>
          <w:rFonts w:ascii="Arial" w:eastAsia="SimSun" w:hAnsi="Arial" w:cs="Arial"/>
          <w:b/>
          <w:i/>
        </w:rPr>
        <w:fldChar w:fldCharType="end"/>
      </w:r>
    </w:p>
    <w:p w14:paraId="6C7A7B24" w14:textId="103B6E8E" w:rsidR="00DF17B1" w:rsidRPr="0013617C" w:rsidRDefault="00DF17B1" w:rsidP="0013617C">
      <w:pPr>
        <w:pStyle w:val="Caption"/>
        <w:rPr>
          <w:rFonts w:ascii="Arial" w:eastAsiaTheme="minorEastAsia" w:hAnsi="Arial" w:cs="Arial"/>
          <w:b w:val="0"/>
          <w:sz w:val="24"/>
          <w:szCs w:val="22"/>
        </w:rPr>
      </w:pPr>
      <w:r w:rsidRPr="0013617C">
        <w:rPr>
          <w:rFonts w:ascii="Arial" w:eastAsiaTheme="minorEastAsia" w:hAnsi="Arial" w:cs="Arial"/>
          <w:b w:val="0"/>
          <w:sz w:val="24"/>
          <w:szCs w:val="22"/>
        </w:rPr>
        <w:t>And we propose</w:t>
      </w:r>
    </w:p>
    <w:p w14:paraId="628C0664" w14:textId="767FDA3E" w:rsidR="00A86778" w:rsidRDefault="000E5C1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_Ref23800481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>Proposal 1: In Rel-16, Type 1 switching delay should be supported.</w:t>
      </w:r>
      <w:r>
        <w:rPr>
          <w:rFonts w:eastAsia="SimSun" w:cs="Arial"/>
          <w:b/>
          <w:i/>
          <w:sz w:val="22"/>
        </w:rPr>
        <w:fldChar w:fldCharType="end"/>
      </w:r>
    </w:p>
    <w:p w14:paraId="49CFB550" w14:textId="21E46F64" w:rsidR="0013617C" w:rsidRDefault="0013617C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_Ref31836529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C151DD" w:rsidRPr="00C151DD">
        <w:rPr>
          <w:rFonts w:eastAsia="SimSun" w:cs="Arial"/>
          <w:b/>
          <w:i/>
          <w:sz w:val="22"/>
        </w:rPr>
        <w:t xml:space="preserve">Proposal 2: </w:t>
      </w:r>
      <w:r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980D726" w14:textId="10B32EC7" w:rsidR="00DF17B1" w:rsidRDefault="00C23161" w:rsidP="00C2316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24" w:name="_Ref7353143"/>
      <w:bookmarkStart w:id="25" w:name="_Ref23800975"/>
      <w:r w:rsidRPr="00C23161">
        <w:rPr>
          <w:rFonts w:ascii="Arial" w:hAnsi="Arial" w:cs="Arial"/>
        </w:rPr>
        <w:t>R4-1910590</w:t>
      </w:r>
      <w:r w:rsidR="00DF17B1" w:rsidRPr="005660DB">
        <w:rPr>
          <w:rFonts w:ascii="Arial" w:hAnsi="Arial" w:cs="Arial"/>
        </w:rPr>
        <w:t xml:space="preserve">, </w:t>
      </w:r>
      <w:r w:rsidRPr="00C23161">
        <w:rPr>
          <w:rFonts w:ascii="Arial" w:hAnsi="Arial" w:cs="Arial"/>
        </w:rPr>
        <w:t>WF on switching time and interruption for MIMO layer adaption</w:t>
      </w:r>
      <w:r w:rsidR="00DF17B1" w:rsidRPr="005660D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Aug.</w:t>
      </w:r>
      <w:r w:rsidR="00DF17B1" w:rsidRPr="005660DB">
        <w:rPr>
          <w:rFonts w:ascii="Arial" w:hAnsi="Arial" w:cs="Arial"/>
        </w:rPr>
        <w:t>, 2019</w:t>
      </w:r>
      <w:bookmarkEnd w:id="24"/>
      <w:r w:rsidR="00F87E53">
        <w:rPr>
          <w:rFonts w:ascii="Arial" w:hAnsi="Arial" w:cs="Arial"/>
        </w:rPr>
        <w:t>.</w:t>
      </w:r>
      <w:bookmarkEnd w:id="25"/>
      <w:r w:rsidR="0028000D">
        <w:rPr>
          <w:rFonts w:ascii="Arial" w:hAnsi="Arial" w:cs="Arial"/>
        </w:rPr>
        <w:t xml:space="preserve"> </w:t>
      </w:r>
    </w:p>
    <w:p w14:paraId="5866D60F" w14:textId="30B43991" w:rsidR="00171CC8" w:rsidRDefault="00302084" w:rsidP="00302084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26" w:name="_Ref32230105"/>
      <w:r w:rsidRPr="00302084">
        <w:rPr>
          <w:rFonts w:ascii="Arial" w:hAnsi="Arial" w:cs="Arial"/>
        </w:rPr>
        <w:t>R4-1914116</w:t>
      </w:r>
      <w:r w:rsidR="007B71D0">
        <w:rPr>
          <w:rFonts w:ascii="Arial" w:hAnsi="Arial" w:cs="Arial"/>
        </w:rPr>
        <w:t>,</w:t>
      </w:r>
      <w:r w:rsidRPr="00302084">
        <w:rPr>
          <w:rFonts w:ascii="Arial" w:hAnsi="Arial" w:cs="Arial"/>
        </w:rPr>
        <w:t xml:space="preserve"> Discussion on UE dynamic adaptation to MIMO layers</w:t>
      </w:r>
      <w:r w:rsidR="007B71D0" w:rsidRPr="005660DB">
        <w:rPr>
          <w:rFonts w:ascii="Arial" w:hAnsi="Arial" w:cs="Arial"/>
        </w:rPr>
        <w:t xml:space="preserve">, </w:t>
      </w:r>
      <w:r w:rsidR="007B71D0">
        <w:rPr>
          <w:rFonts w:ascii="Arial" w:hAnsi="Arial" w:cs="Arial"/>
        </w:rPr>
        <w:t>Nov.</w:t>
      </w:r>
      <w:r w:rsidR="007B71D0" w:rsidRPr="005660DB">
        <w:rPr>
          <w:rFonts w:ascii="Arial" w:hAnsi="Arial" w:cs="Arial"/>
        </w:rPr>
        <w:t>, 2019</w:t>
      </w:r>
      <w:r w:rsidR="007B71D0">
        <w:rPr>
          <w:rFonts w:ascii="Arial" w:hAnsi="Arial" w:cs="Arial"/>
        </w:rPr>
        <w:t>.</w:t>
      </w:r>
      <w:bookmarkEnd w:id="26"/>
    </w:p>
    <w:p w14:paraId="2A7CAE5B" w14:textId="71BBA9F5" w:rsidR="003E1A30" w:rsidRPr="00740176" w:rsidRDefault="001965A3" w:rsidP="003E1A30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27" w:name="_Ref23800986"/>
      <w:r>
        <w:rPr>
          <w:rFonts w:ascii="Arial" w:hAnsi="Arial" w:cs="Arial"/>
        </w:rPr>
        <w:t>TR 38.84 v16.0.0, 3GPP, Jun., 2019.</w:t>
      </w:r>
      <w:bookmarkEnd w:id="27"/>
      <w:r>
        <w:rPr>
          <w:rFonts w:ascii="Arial" w:hAnsi="Arial" w:cs="Arial"/>
        </w:rPr>
        <w:t xml:space="preserve"> </w:t>
      </w:r>
    </w:p>
    <w:p w14:paraId="70E50373" w14:textId="49C75A37" w:rsidR="001965A3" w:rsidRPr="009F29FB" w:rsidRDefault="001965A3" w:rsidP="001965A3">
      <w:pPr>
        <w:pStyle w:val="Heading1"/>
        <w:jc w:val="both"/>
        <w:rPr>
          <w:rFonts w:cs="Arial"/>
          <w:color w:val="000000" w:themeColor="text1"/>
        </w:rPr>
      </w:pPr>
      <w:r w:rsidRPr="001965A3">
        <w:rPr>
          <w:rFonts w:eastAsia="新細明體" w:cs="Arial"/>
          <w:color w:val="000000" w:themeColor="text1"/>
          <w:lang w:eastAsia="zh-TW"/>
        </w:rPr>
        <w:t>Appendix</w:t>
      </w:r>
    </w:p>
    <w:p w14:paraId="1CC24139" w14:textId="35AEF28E" w:rsidR="001965A3" w:rsidRDefault="001965A3" w:rsidP="001965A3">
      <w:pPr>
        <w:ind w:right="72"/>
        <w:rPr>
          <w:rFonts w:ascii="Arial" w:hAnsi="Arial" w:cs="Arial"/>
        </w:rPr>
      </w:pPr>
      <w:r w:rsidRPr="001965A3">
        <w:rPr>
          <w:rFonts w:ascii="Arial" w:hAnsi="Arial" w:cs="Arial"/>
        </w:rPr>
        <w:t>T</w:t>
      </w:r>
      <w:r>
        <w:rPr>
          <w:rFonts w:ascii="Arial" w:hAnsi="Arial" w:cs="Arial"/>
        </w:rPr>
        <w:t>he simulation settings used in our s</w:t>
      </w:r>
      <w:r w:rsidRPr="001965A3">
        <w:rPr>
          <w:rFonts w:ascii="Arial" w:hAnsi="Arial" w:cs="Arial"/>
        </w:rPr>
        <w:t>ystem level simulation assumptions</w:t>
      </w:r>
      <w:r>
        <w:rPr>
          <w:rFonts w:ascii="Arial" w:hAnsi="Arial" w:cs="Arial"/>
        </w:rPr>
        <w:t xml:space="preserve"> are listed as follows:</w:t>
      </w:r>
    </w:p>
    <w:p w14:paraId="5F1E9C97" w14:textId="2D67721A" w:rsidR="001965A3" w:rsidRDefault="001965A3" w:rsidP="001965A3">
      <w:pPr>
        <w:pStyle w:val="ListParagraph"/>
        <w:numPr>
          <w:ilvl w:val="0"/>
          <w:numId w:val="92"/>
        </w:numPr>
        <w:ind w:right="72"/>
        <w:rPr>
          <w:rFonts w:ascii="Arial" w:hAnsi="Arial" w:cs="Arial"/>
        </w:rPr>
      </w:pPr>
      <w:r>
        <w:rPr>
          <w:rFonts w:ascii="Arial" w:hAnsi="Arial" w:cs="Arial"/>
        </w:rPr>
        <w:t>General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3330"/>
      </w:tblGrid>
      <w:tr w:rsidR="001965A3" w14:paraId="727986A0" w14:textId="77777777" w:rsidTr="001965A3">
        <w:trPr>
          <w:jc w:val="center"/>
        </w:trPr>
        <w:tc>
          <w:tcPr>
            <w:tcW w:w="305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77D5961" w14:textId="77777777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EDA9457" w14:textId="2B45255B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FTP/Video</w:t>
            </w:r>
          </w:p>
        </w:tc>
      </w:tr>
      <w:tr w:rsidR="001965A3" w14:paraId="53C35804" w14:textId="77777777" w:rsidTr="001965A3">
        <w:trPr>
          <w:jc w:val="center"/>
        </w:trPr>
        <w:tc>
          <w:tcPr>
            <w:tcW w:w="3055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3B2E8ABB" w14:textId="16B6D58C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Model</w:t>
            </w:r>
          </w:p>
        </w:tc>
        <w:tc>
          <w:tcPr>
            <w:tcW w:w="3330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038D0346" w14:textId="7F2B2C41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FTP model 3</w:t>
            </w:r>
          </w:p>
        </w:tc>
      </w:tr>
      <w:tr w:rsidR="001965A3" w14:paraId="727A3EB9" w14:textId="77777777" w:rsidTr="001965A3">
        <w:trPr>
          <w:jc w:val="center"/>
        </w:trPr>
        <w:tc>
          <w:tcPr>
            <w:tcW w:w="305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8146527" w14:textId="56512A55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Packet size (Mbytes)</w:t>
            </w:r>
          </w:p>
        </w:tc>
        <w:tc>
          <w:tcPr>
            <w:tcW w:w="3330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1793887" w14:textId="02D1EB74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0.5/0.25/0.125/0.0625/0.0313</w:t>
            </w:r>
          </w:p>
        </w:tc>
      </w:tr>
      <w:tr w:rsidR="001965A3" w14:paraId="1E4CAEDB" w14:textId="77777777" w:rsidTr="001965A3">
        <w:trPr>
          <w:jc w:val="center"/>
        </w:trPr>
        <w:tc>
          <w:tcPr>
            <w:tcW w:w="3055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6C53B70" w14:textId="38087779" w:rsidR="001965A3" w:rsidRPr="00ED0788" w:rsidRDefault="001965A3" w:rsidP="001965A3">
            <w:pPr>
              <w:pStyle w:val="ListParagraph"/>
              <w:ind w:left="0" w:right="72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Mean inter-arrival time (ms)</w:t>
            </w:r>
          </w:p>
        </w:tc>
        <w:tc>
          <w:tcPr>
            <w:tcW w:w="3330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78617D2" w14:textId="4A427C2F" w:rsidR="001965A3" w:rsidRPr="00ED0788" w:rsidRDefault="001965A3" w:rsidP="001965A3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200/100/50/25/12.5</w:t>
            </w:r>
          </w:p>
        </w:tc>
      </w:tr>
    </w:tbl>
    <w:p w14:paraId="6DFD59A9" w14:textId="77777777" w:rsidR="001965A3" w:rsidRDefault="001965A3" w:rsidP="001965A3">
      <w:pPr>
        <w:pStyle w:val="ListParagraph"/>
        <w:ind w:right="72"/>
        <w:rPr>
          <w:rFonts w:ascii="Arial" w:hAnsi="Arial" w:cs="Arial"/>
        </w:rPr>
      </w:pPr>
    </w:p>
    <w:p w14:paraId="09C3C025" w14:textId="5465C226" w:rsidR="001965A3" w:rsidRDefault="001965A3" w:rsidP="001965A3">
      <w:pPr>
        <w:pStyle w:val="ListParagraph"/>
        <w:numPr>
          <w:ilvl w:val="0"/>
          <w:numId w:val="92"/>
        </w:numPr>
        <w:ind w:right="72"/>
        <w:rPr>
          <w:rFonts w:ascii="Arial" w:hAnsi="Arial" w:cs="Arial"/>
        </w:rPr>
      </w:pPr>
      <w:r>
        <w:rPr>
          <w:rFonts w:ascii="Arial" w:hAnsi="Arial" w:cs="Arial"/>
        </w:rPr>
        <w:t>Settings in different frequency ranges:</w:t>
      </w:r>
    </w:p>
    <w:p w14:paraId="557C2FDD" w14:textId="77777777" w:rsidR="001965A3" w:rsidRDefault="001965A3" w:rsidP="001965A3">
      <w:pPr>
        <w:pStyle w:val="ListParagraph"/>
        <w:ind w:right="72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8"/>
        <w:gridCol w:w="3208"/>
      </w:tblGrid>
      <w:tr w:rsidR="001965A3" w14:paraId="34D73DC4" w14:textId="77777777" w:rsidTr="001965A3">
        <w:tc>
          <w:tcPr>
            <w:tcW w:w="320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0DCBFDC" w14:textId="10636387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Simulation parameters</w:t>
            </w:r>
          </w:p>
        </w:tc>
        <w:tc>
          <w:tcPr>
            <w:tcW w:w="321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</w:tcPr>
          <w:p w14:paraId="3FB939B5" w14:textId="349AB89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FR1</w:t>
            </w:r>
          </w:p>
        </w:tc>
        <w:tc>
          <w:tcPr>
            <w:tcW w:w="3210" w:type="dxa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</w:tcPr>
          <w:p w14:paraId="3FE7A5FA" w14:textId="36C79E5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 w:hint="eastAsia"/>
                <w:b/>
                <w:sz w:val="20"/>
                <w:szCs w:val="20"/>
              </w:rPr>
              <w:t>FR</w:t>
            </w:r>
            <w:r w:rsidRPr="00ED0788">
              <w:rPr>
                <w:rFonts w:cs="Arial"/>
                <w:b/>
                <w:sz w:val="20"/>
                <w:szCs w:val="20"/>
              </w:rPr>
              <w:t>2</w:t>
            </w:r>
          </w:p>
        </w:tc>
      </w:tr>
      <w:tr w:rsidR="001965A3" w14:paraId="6870297B" w14:textId="77777777" w:rsidTr="001965A3">
        <w:tc>
          <w:tcPr>
            <w:tcW w:w="3209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406948CB" w14:textId="4FEDF9AC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Carrier center frequency</w:t>
            </w:r>
          </w:p>
        </w:tc>
        <w:tc>
          <w:tcPr>
            <w:tcW w:w="3210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14:paraId="221A5D41" w14:textId="60854DAF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 GHz</w:t>
            </w:r>
          </w:p>
        </w:tc>
        <w:tc>
          <w:tcPr>
            <w:tcW w:w="3210" w:type="dxa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14:paraId="6878415B" w14:textId="15C3AC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30 GHz</w:t>
            </w:r>
          </w:p>
        </w:tc>
      </w:tr>
      <w:tr w:rsidR="001965A3" w14:paraId="20B3FA3A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1F44354" w14:textId="77902E3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Subcarrier spacing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02C7B9B9" w14:textId="75022E8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15, 30 kHz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32C9745" w14:textId="0EAB832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120 kHz</w:t>
            </w:r>
          </w:p>
        </w:tc>
      </w:tr>
      <w:tr w:rsidR="001965A3" w14:paraId="4D5A0245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3934A7A" w14:textId="714937E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Bandwidth (per CC)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349D0822" w14:textId="6FBEF55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100MHz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shd w:val="clear" w:color="auto" w:fill="auto"/>
            <w:vAlign w:val="center"/>
          </w:tcPr>
          <w:p w14:paraId="074DC3B7" w14:textId="64D242C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100MHz</w:t>
            </w:r>
          </w:p>
        </w:tc>
      </w:tr>
      <w:tr w:rsidR="001965A3" w14:paraId="33228870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115F327" w14:textId="20F1E5E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CC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121DC9BB" w14:textId="0BD6C26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1BD0C501" w14:textId="7157E8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</w:tr>
      <w:tr w:rsidR="001965A3" w14:paraId="60F6580D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ED8F8B1" w14:textId="7B0D415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Channel model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74C98D7E" w14:textId="48EDB5E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IMT2020 3D UMa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734609E4" w14:textId="546DA01F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IMT2020 3D UMa</w:t>
            </w:r>
          </w:p>
        </w:tc>
      </w:tr>
      <w:tr w:rsidR="001965A3" w14:paraId="6FD8175A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59CDE09" w14:textId="46911E9E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Deployment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4DFEEE03" w14:textId="626729E4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Dense Urban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7FDD4C3" w14:textId="0CA4B309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Dense Urban</w:t>
            </w:r>
          </w:p>
        </w:tc>
      </w:tr>
      <w:tr w:rsidR="001965A3" w14:paraId="078CD0F8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004C1B8" w14:textId="4850763B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ISD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61888A95" w14:textId="2ABEEFA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 m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4E394EB2" w14:textId="257517B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200 m</w:t>
            </w:r>
          </w:p>
        </w:tc>
      </w:tr>
      <w:tr w:rsidR="001965A3" w14:paraId="62EAAC56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0396674" w14:textId="51D47F5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BS Tx antennas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751C37FE" w14:textId="79FD0C72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569D12E5" w14:textId="181BB135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</w:t>
            </w:r>
          </w:p>
        </w:tc>
      </w:tr>
      <w:tr w:rsidR="001965A3" w14:paraId="34E6BB6D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FE25494" w14:textId="7DF301C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UE Rx antennas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08D39CD8" w14:textId="7BD35A6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3934AD3C" w14:textId="7969FD0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2</w:t>
            </w:r>
          </w:p>
        </w:tc>
      </w:tr>
      <w:tr w:rsidR="001965A3" w14:paraId="0A153DE9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12B11C44" w14:textId="06239E2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MIMO scheme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2F96241C" w14:textId="763F743C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SU-MIMO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2DF423FC" w14:textId="721D711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SU-MIMO</w:t>
            </w:r>
          </w:p>
        </w:tc>
      </w:tr>
      <w:tr w:rsidR="001965A3" w14:paraId="321885B2" w14:textId="77777777" w:rsidTr="001965A3">
        <w:tc>
          <w:tcPr>
            <w:tcW w:w="3209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6BF4D26F" w14:textId="1F75FCC8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Max. # of HARQ RETX</w:t>
            </w:r>
          </w:p>
        </w:tc>
        <w:tc>
          <w:tcPr>
            <w:tcW w:w="3210" w:type="dxa"/>
            <w:tcBorders>
              <w:left w:val="double" w:sz="2" w:space="0" w:color="auto"/>
            </w:tcBorders>
            <w:vAlign w:val="center"/>
          </w:tcPr>
          <w:p w14:paraId="2A39CE68" w14:textId="7B5B0DC4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210" w:type="dxa"/>
            <w:tcBorders>
              <w:right w:val="double" w:sz="2" w:space="0" w:color="auto"/>
            </w:tcBorders>
            <w:vAlign w:val="center"/>
          </w:tcPr>
          <w:p w14:paraId="06B03CC8" w14:textId="6E87DD43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4</w:t>
            </w:r>
          </w:p>
        </w:tc>
      </w:tr>
      <w:tr w:rsidR="001965A3" w14:paraId="53A2160F" w14:textId="77777777" w:rsidTr="001965A3">
        <w:tc>
          <w:tcPr>
            <w:tcW w:w="3209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1CDCA9D" w14:textId="0C6F3F41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b/>
                <w:sz w:val="20"/>
                <w:szCs w:val="20"/>
              </w:rPr>
            </w:pPr>
            <w:r w:rsidRPr="00ED0788">
              <w:rPr>
                <w:rFonts w:cs="Arial"/>
                <w:b/>
                <w:sz w:val="20"/>
                <w:szCs w:val="20"/>
              </w:rPr>
              <w:t># of UEs/Cell</w:t>
            </w:r>
          </w:p>
        </w:tc>
        <w:tc>
          <w:tcPr>
            <w:tcW w:w="3210" w:type="dxa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14:paraId="7EE2D7C7" w14:textId="6F2C0EAA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 (FTP/Video)</w:t>
            </w:r>
          </w:p>
        </w:tc>
        <w:tc>
          <w:tcPr>
            <w:tcW w:w="3210" w:type="dxa"/>
            <w:tcBorders>
              <w:bottom w:val="double" w:sz="2" w:space="0" w:color="auto"/>
              <w:right w:val="double" w:sz="2" w:space="0" w:color="auto"/>
            </w:tcBorders>
            <w:vAlign w:val="center"/>
          </w:tcPr>
          <w:p w14:paraId="5F7CD91D" w14:textId="6D403AD0" w:rsidR="001965A3" w:rsidRPr="00ED0788" w:rsidRDefault="001965A3" w:rsidP="00ED0788">
            <w:pPr>
              <w:pStyle w:val="ListParagraph"/>
              <w:ind w:left="0" w:right="72"/>
              <w:jc w:val="center"/>
              <w:rPr>
                <w:rFonts w:cs="Arial"/>
                <w:sz w:val="20"/>
                <w:szCs w:val="20"/>
              </w:rPr>
            </w:pPr>
            <w:r w:rsidRPr="00ED0788">
              <w:rPr>
                <w:rFonts w:cs="Arial"/>
                <w:sz w:val="20"/>
                <w:szCs w:val="20"/>
              </w:rPr>
              <w:t>10 (FTP/Video)</w:t>
            </w:r>
          </w:p>
        </w:tc>
      </w:tr>
    </w:tbl>
    <w:p w14:paraId="6B3A2213" w14:textId="77777777" w:rsidR="001965A3" w:rsidRPr="001965A3" w:rsidRDefault="001965A3" w:rsidP="001965A3">
      <w:pPr>
        <w:ind w:right="72"/>
        <w:rPr>
          <w:rFonts w:ascii="Arial" w:hAnsi="Arial" w:cs="Arial"/>
        </w:rPr>
      </w:pPr>
    </w:p>
    <w:p w14:paraId="634CF7A7" w14:textId="77777777" w:rsidR="001965A3" w:rsidRPr="00CB0F41" w:rsidRDefault="001965A3" w:rsidP="001965A3">
      <w:pPr>
        <w:ind w:right="72"/>
        <w:rPr>
          <w:rFonts w:ascii="Arial" w:hAnsi="Arial" w:cs="Arial"/>
        </w:rPr>
      </w:pPr>
    </w:p>
    <w:p w14:paraId="77F05B53" w14:textId="77777777" w:rsidR="00415949" w:rsidRPr="00B0627C" w:rsidRDefault="00415949" w:rsidP="0013617C">
      <w:pPr>
        <w:ind w:right="72"/>
      </w:pPr>
    </w:p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A639B" w14:textId="77777777" w:rsidR="00195DBA" w:rsidRDefault="00195DBA">
      <w:r>
        <w:separator/>
      </w:r>
    </w:p>
  </w:endnote>
  <w:endnote w:type="continuationSeparator" w:id="0">
    <w:p w14:paraId="03DAFEEA" w14:textId="77777777" w:rsidR="00195DBA" w:rsidRDefault="0019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86359" w14:textId="77777777" w:rsidR="00195DBA" w:rsidRDefault="00195DBA">
      <w:r>
        <w:separator/>
      </w:r>
    </w:p>
  </w:footnote>
  <w:footnote w:type="continuationSeparator" w:id="0">
    <w:p w14:paraId="68FC7EFC" w14:textId="77777777" w:rsidR="00195DBA" w:rsidRDefault="00195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57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E7506C"/>
    <w:multiLevelType w:val="hybridMultilevel"/>
    <w:tmpl w:val="EF06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1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8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3AEA5962"/>
    <w:multiLevelType w:val="hybridMultilevel"/>
    <w:tmpl w:val="76AE7FE8"/>
    <w:lvl w:ilvl="0" w:tplc="6B40F5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83648">
      <w:start w:val="56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88E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FA4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70C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10F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2C6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1260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24A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3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4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8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0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53D7D"/>
    <w:multiLevelType w:val="hybridMultilevel"/>
    <w:tmpl w:val="35D81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9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1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3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4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2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2"/>
  </w:num>
  <w:num w:numId="3">
    <w:abstractNumId w:val="30"/>
  </w:num>
  <w:num w:numId="4">
    <w:abstractNumId w:val="25"/>
  </w:num>
  <w:num w:numId="5">
    <w:abstractNumId w:val="81"/>
  </w:num>
  <w:num w:numId="6">
    <w:abstractNumId w:val="58"/>
  </w:num>
  <w:num w:numId="7">
    <w:abstractNumId w:val="91"/>
  </w:num>
  <w:num w:numId="8">
    <w:abstractNumId w:val="24"/>
  </w:num>
  <w:num w:numId="9">
    <w:abstractNumId w:val="36"/>
  </w:num>
  <w:num w:numId="10">
    <w:abstractNumId w:val="27"/>
  </w:num>
  <w:num w:numId="11">
    <w:abstractNumId w:val="83"/>
  </w:num>
  <w:num w:numId="12">
    <w:abstractNumId w:val="19"/>
  </w:num>
  <w:num w:numId="13">
    <w:abstractNumId w:val="11"/>
  </w:num>
  <w:num w:numId="14">
    <w:abstractNumId w:val="31"/>
  </w:num>
  <w:num w:numId="15">
    <w:abstractNumId w:val="67"/>
  </w:num>
  <w:num w:numId="16">
    <w:abstractNumId w:val="47"/>
  </w:num>
  <w:num w:numId="17">
    <w:abstractNumId w:val="57"/>
  </w:num>
  <w:num w:numId="18">
    <w:abstractNumId w:val="4"/>
  </w:num>
  <w:num w:numId="19">
    <w:abstractNumId w:val="1"/>
  </w:num>
  <w:num w:numId="20">
    <w:abstractNumId w:val="14"/>
  </w:num>
  <w:num w:numId="21">
    <w:abstractNumId w:val="26"/>
  </w:num>
  <w:num w:numId="22">
    <w:abstractNumId w:val="21"/>
  </w:num>
  <w:num w:numId="23">
    <w:abstractNumId w:val="53"/>
  </w:num>
  <w:num w:numId="24">
    <w:abstractNumId w:val="52"/>
  </w:num>
  <w:num w:numId="25">
    <w:abstractNumId w:val="17"/>
  </w:num>
  <w:num w:numId="26">
    <w:abstractNumId w:val="54"/>
  </w:num>
  <w:num w:numId="27">
    <w:abstractNumId w:val="59"/>
  </w:num>
  <w:num w:numId="28">
    <w:abstractNumId w:val="61"/>
  </w:num>
  <w:num w:numId="29">
    <w:abstractNumId w:val="9"/>
  </w:num>
  <w:num w:numId="30">
    <w:abstractNumId w:val="35"/>
  </w:num>
  <w:num w:numId="31">
    <w:abstractNumId w:val="55"/>
  </w:num>
  <w:num w:numId="32">
    <w:abstractNumId w:val="13"/>
  </w:num>
  <w:num w:numId="33">
    <w:abstractNumId w:val="50"/>
  </w:num>
  <w:num w:numId="34">
    <w:abstractNumId w:val="32"/>
  </w:num>
  <w:num w:numId="35">
    <w:abstractNumId w:val="43"/>
  </w:num>
  <w:num w:numId="36">
    <w:abstractNumId w:val="41"/>
  </w:num>
  <w:num w:numId="37">
    <w:abstractNumId w:val="3"/>
  </w:num>
  <w:num w:numId="38">
    <w:abstractNumId w:val="60"/>
  </w:num>
  <w:num w:numId="39">
    <w:abstractNumId w:val="23"/>
  </w:num>
  <w:num w:numId="40">
    <w:abstractNumId w:val="8"/>
  </w:num>
  <w:num w:numId="41">
    <w:abstractNumId w:val="42"/>
  </w:num>
  <w:num w:numId="42">
    <w:abstractNumId w:val="39"/>
  </w:num>
  <w:num w:numId="43">
    <w:abstractNumId w:val="33"/>
  </w:num>
  <w:num w:numId="44">
    <w:abstractNumId w:val="73"/>
  </w:num>
  <w:num w:numId="45">
    <w:abstractNumId w:val="16"/>
  </w:num>
  <w:num w:numId="46">
    <w:abstractNumId w:val="29"/>
  </w:num>
  <w:num w:numId="47">
    <w:abstractNumId w:val="77"/>
  </w:num>
  <w:num w:numId="48">
    <w:abstractNumId w:val="86"/>
  </w:num>
  <w:num w:numId="49">
    <w:abstractNumId w:val="78"/>
  </w:num>
  <w:num w:numId="50">
    <w:abstractNumId w:val="69"/>
  </w:num>
  <w:num w:numId="51">
    <w:abstractNumId w:val="15"/>
  </w:num>
  <w:num w:numId="52">
    <w:abstractNumId w:val="85"/>
  </w:num>
  <w:num w:numId="53">
    <w:abstractNumId w:val="7"/>
  </w:num>
  <w:num w:numId="54">
    <w:abstractNumId w:val="75"/>
  </w:num>
  <w:num w:numId="55">
    <w:abstractNumId w:val="66"/>
  </w:num>
  <w:num w:numId="56">
    <w:abstractNumId w:val="70"/>
  </w:num>
  <w:num w:numId="57">
    <w:abstractNumId w:val="5"/>
  </w:num>
  <w:num w:numId="58">
    <w:abstractNumId w:val="44"/>
  </w:num>
  <w:num w:numId="59">
    <w:abstractNumId w:val="22"/>
  </w:num>
  <w:num w:numId="60">
    <w:abstractNumId w:val="76"/>
  </w:num>
  <w:num w:numId="61">
    <w:abstractNumId w:val="71"/>
  </w:num>
  <w:num w:numId="62">
    <w:abstractNumId w:val="87"/>
  </w:num>
  <w:num w:numId="63">
    <w:abstractNumId w:val="12"/>
  </w:num>
  <w:num w:numId="64">
    <w:abstractNumId w:val="63"/>
  </w:num>
  <w:num w:numId="65">
    <w:abstractNumId w:val="6"/>
  </w:num>
  <w:num w:numId="66">
    <w:abstractNumId w:val="48"/>
  </w:num>
  <w:num w:numId="67">
    <w:abstractNumId w:val="65"/>
  </w:num>
  <w:num w:numId="68">
    <w:abstractNumId w:val="46"/>
  </w:num>
  <w:num w:numId="69">
    <w:abstractNumId w:val="80"/>
  </w:num>
  <w:num w:numId="70">
    <w:abstractNumId w:val="88"/>
  </w:num>
  <w:num w:numId="71">
    <w:abstractNumId w:val="79"/>
  </w:num>
  <w:num w:numId="72">
    <w:abstractNumId w:val="49"/>
  </w:num>
  <w:num w:numId="73">
    <w:abstractNumId w:val="45"/>
  </w:num>
  <w:num w:numId="74">
    <w:abstractNumId w:val="56"/>
  </w:num>
  <w:num w:numId="75">
    <w:abstractNumId w:val="20"/>
  </w:num>
  <w:num w:numId="76">
    <w:abstractNumId w:val="18"/>
  </w:num>
  <w:num w:numId="77">
    <w:abstractNumId w:val="90"/>
  </w:num>
  <w:num w:numId="78">
    <w:abstractNumId w:val="92"/>
  </w:num>
  <w:num w:numId="79">
    <w:abstractNumId w:val="38"/>
  </w:num>
  <w:num w:numId="80">
    <w:abstractNumId w:val="89"/>
  </w:num>
  <w:num w:numId="81">
    <w:abstractNumId w:val="51"/>
  </w:num>
  <w:num w:numId="82">
    <w:abstractNumId w:val="68"/>
  </w:num>
  <w:num w:numId="83">
    <w:abstractNumId w:val="34"/>
  </w:num>
  <w:num w:numId="84">
    <w:abstractNumId w:val="74"/>
  </w:num>
  <w:num w:numId="85">
    <w:abstractNumId w:val="72"/>
  </w:num>
  <w:num w:numId="86">
    <w:abstractNumId w:val="62"/>
  </w:num>
  <w:num w:numId="87">
    <w:abstractNumId w:val="2"/>
  </w:num>
  <w:num w:numId="88">
    <w:abstractNumId w:val="28"/>
  </w:num>
  <w:num w:numId="89">
    <w:abstractNumId w:val="40"/>
  </w:num>
  <w:num w:numId="90">
    <w:abstractNumId w:val="84"/>
  </w:num>
  <w:num w:numId="91">
    <w:abstractNumId w:val="37"/>
  </w:num>
  <w:num w:numId="92">
    <w:abstractNumId w:val="10"/>
  </w:num>
  <w:num w:numId="93">
    <w:abstractNumId w:val="6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5FD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CE5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9CA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155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3FBC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18C"/>
    <w:rsid w:val="000712C4"/>
    <w:rsid w:val="000718D7"/>
    <w:rsid w:val="00071CD5"/>
    <w:rsid w:val="000720DB"/>
    <w:rsid w:val="00072306"/>
    <w:rsid w:val="000724CD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81D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45A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7EB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1E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3"/>
    <w:rsid w:val="000C3DC5"/>
    <w:rsid w:val="000C4DE9"/>
    <w:rsid w:val="000C513B"/>
    <w:rsid w:val="000C51E2"/>
    <w:rsid w:val="000C55B8"/>
    <w:rsid w:val="000C590F"/>
    <w:rsid w:val="000C5A67"/>
    <w:rsid w:val="000C5BCD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5C1C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9C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17C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CC8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5DBA"/>
    <w:rsid w:val="0019636C"/>
    <w:rsid w:val="001965A3"/>
    <w:rsid w:val="0019696E"/>
    <w:rsid w:val="0019714C"/>
    <w:rsid w:val="00197A24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47B1"/>
    <w:rsid w:val="001A549A"/>
    <w:rsid w:val="001A5630"/>
    <w:rsid w:val="001A5723"/>
    <w:rsid w:val="001A59C1"/>
    <w:rsid w:val="001A642E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18A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526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10E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A48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3AC"/>
    <w:rsid w:val="002244BE"/>
    <w:rsid w:val="0022453A"/>
    <w:rsid w:val="00224A2C"/>
    <w:rsid w:val="002253E1"/>
    <w:rsid w:val="0022708E"/>
    <w:rsid w:val="00227364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129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39D0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0D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92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A21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2C8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701"/>
    <w:rsid w:val="002F7AB0"/>
    <w:rsid w:val="002F7FF6"/>
    <w:rsid w:val="00301089"/>
    <w:rsid w:val="003014E3"/>
    <w:rsid w:val="00301AA6"/>
    <w:rsid w:val="00301D6C"/>
    <w:rsid w:val="00302084"/>
    <w:rsid w:val="003024DA"/>
    <w:rsid w:val="00302AE2"/>
    <w:rsid w:val="003039AF"/>
    <w:rsid w:val="003039C5"/>
    <w:rsid w:val="003040C1"/>
    <w:rsid w:val="0030412A"/>
    <w:rsid w:val="00304518"/>
    <w:rsid w:val="00304725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1E11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5FDB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036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88C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D2C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E72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A30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1D6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B2B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00D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96B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19EF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AD3"/>
    <w:rsid w:val="004A6EA7"/>
    <w:rsid w:val="004A720A"/>
    <w:rsid w:val="004A7241"/>
    <w:rsid w:val="004A7835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A93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AD0"/>
    <w:rsid w:val="004E4D06"/>
    <w:rsid w:val="004E5208"/>
    <w:rsid w:val="004E546B"/>
    <w:rsid w:val="004E59CC"/>
    <w:rsid w:val="004E6002"/>
    <w:rsid w:val="004E7CDD"/>
    <w:rsid w:val="004F0DB4"/>
    <w:rsid w:val="004F1F0B"/>
    <w:rsid w:val="004F208C"/>
    <w:rsid w:val="004F26B9"/>
    <w:rsid w:val="004F29B3"/>
    <w:rsid w:val="004F3449"/>
    <w:rsid w:val="004F3FF3"/>
    <w:rsid w:val="004F4089"/>
    <w:rsid w:val="004F481A"/>
    <w:rsid w:val="004F4C86"/>
    <w:rsid w:val="004F5147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D21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40FB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948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6E4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045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43C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CE6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448"/>
    <w:rsid w:val="00620D6A"/>
    <w:rsid w:val="00620F78"/>
    <w:rsid w:val="006211F2"/>
    <w:rsid w:val="00621324"/>
    <w:rsid w:val="00621AE6"/>
    <w:rsid w:val="00621EFF"/>
    <w:rsid w:val="0062214A"/>
    <w:rsid w:val="0062286A"/>
    <w:rsid w:val="00622FF1"/>
    <w:rsid w:val="00624222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37ED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47CD1"/>
    <w:rsid w:val="00650597"/>
    <w:rsid w:val="0065065D"/>
    <w:rsid w:val="006509E6"/>
    <w:rsid w:val="0065197A"/>
    <w:rsid w:val="00651EC2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464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2331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13E"/>
    <w:rsid w:val="006D436E"/>
    <w:rsid w:val="006D447C"/>
    <w:rsid w:val="006D5632"/>
    <w:rsid w:val="006D5914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2F4"/>
    <w:rsid w:val="006E051F"/>
    <w:rsid w:val="006E13D1"/>
    <w:rsid w:val="006E193D"/>
    <w:rsid w:val="006E1952"/>
    <w:rsid w:val="006E19B6"/>
    <w:rsid w:val="006E1A9C"/>
    <w:rsid w:val="006E225A"/>
    <w:rsid w:val="006E27F6"/>
    <w:rsid w:val="006E3084"/>
    <w:rsid w:val="006E3DEE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4E95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5B55"/>
    <w:rsid w:val="00725EAB"/>
    <w:rsid w:val="00726214"/>
    <w:rsid w:val="00726344"/>
    <w:rsid w:val="007279E0"/>
    <w:rsid w:val="00727C6D"/>
    <w:rsid w:val="007300B7"/>
    <w:rsid w:val="007302FB"/>
    <w:rsid w:val="00730C1A"/>
    <w:rsid w:val="00731CD8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176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4A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B4"/>
    <w:rsid w:val="007743CE"/>
    <w:rsid w:val="007749BC"/>
    <w:rsid w:val="0077548E"/>
    <w:rsid w:val="00776258"/>
    <w:rsid w:val="00776B45"/>
    <w:rsid w:val="00776C61"/>
    <w:rsid w:val="00777643"/>
    <w:rsid w:val="00777C3F"/>
    <w:rsid w:val="00777D3D"/>
    <w:rsid w:val="00780385"/>
    <w:rsid w:val="00780640"/>
    <w:rsid w:val="007808BA"/>
    <w:rsid w:val="00780965"/>
    <w:rsid w:val="00781ED9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1D0"/>
    <w:rsid w:val="007B72B9"/>
    <w:rsid w:val="007B746C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4BD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24D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0102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93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90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19"/>
    <w:rsid w:val="008A7B28"/>
    <w:rsid w:val="008A7EBA"/>
    <w:rsid w:val="008B042F"/>
    <w:rsid w:val="008B0A66"/>
    <w:rsid w:val="008B0DF8"/>
    <w:rsid w:val="008B21F3"/>
    <w:rsid w:val="008B2555"/>
    <w:rsid w:val="008B28E3"/>
    <w:rsid w:val="008B2C9B"/>
    <w:rsid w:val="008B435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3DA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BEC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3E5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45E2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3F3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17469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D95"/>
    <w:rsid w:val="00A32097"/>
    <w:rsid w:val="00A32A14"/>
    <w:rsid w:val="00A3398D"/>
    <w:rsid w:val="00A33E0D"/>
    <w:rsid w:val="00A33E11"/>
    <w:rsid w:val="00A33F4E"/>
    <w:rsid w:val="00A343E8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778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1E78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CD8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0D1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478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9B9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CA4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3D2C"/>
    <w:rsid w:val="00B63D8D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10D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D2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73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745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1DD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161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9B9"/>
    <w:rsid w:val="00C62965"/>
    <w:rsid w:val="00C62E26"/>
    <w:rsid w:val="00C63229"/>
    <w:rsid w:val="00C640B3"/>
    <w:rsid w:val="00C64E62"/>
    <w:rsid w:val="00C65808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4F81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B84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1BBD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C8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2E2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3E13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79D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0FD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1F3"/>
    <w:rsid w:val="00D70186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9AD"/>
    <w:rsid w:val="00DA5158"/>
    <w:rsid w:val="00DA53CE"/>
    <w:rsid w:val="00DA587A"/>
    <w:rsid w:val="00DA5C84"/>
    <w:rsid w:val="00DA5D93"/>
    <w:rsid w:val="00DA5DCC"/>
    <w:rsid w:val="00DA65A0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49F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5C8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1CF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9CD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810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192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772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55C"/>
    <w:rsid w:val="00EA0CC3"/>
    <w:rsid w:val="00EA0D36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880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88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A8D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5DB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91B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0EFC"/>
    <w:rsid w:val="00F11A01"/>
    <w:rsid w:val="00F11A5E"/>
    <w:rsid w:val="00F1416E"/>
    <w:rsid w:val="00F141B0"/>
    <w:rsid w:val="00F15010"/>
    <w:rsid w:val="00F15523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2774D"/>
    <w:rsid w:val="00F27FD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3733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E53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A79AA"/>
    <w:rsid w:val="00FB1729"/>
    <w:rsid w:val="00FB1889"/>
    <w:rsid w:val="00FB1C7D"/>
    <w:rsid w:val="00FB2379"/>
    <w:rsid w:val="00FB25BA"/>
    <w:rsid w:val="00FB26DC"/>
    <w:rsid w:val="00FB2750"/>
    <w:rsid w:val="00FB2B03"/>
    <w:rsid w:val="00FB375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2D9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D8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3D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D8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Yu Mincho" w:eastAsia="新細明體" w:hAnsi="Yu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Yu Mincho" w:eastAsia="新細明體" w:hAnsi="Yu Mincho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Yu Mincho" w:eastAsia="新細明體" w:hAnsi="Yu Mincho" w:cs="Times New Roman"/>
        <w:b/>
        <w:bCs/>
      </w:rPr>
    </w:tblStylePr>
    <w:tblStylePr w:type="lastCol">
      <w:rPr>
        <w:rFonts w:ascii="Yu Mincho" w:eastAsia="新細明體" w:hAnsi="Yu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Yu Mincho" w:eastAsia="新細明體" w:hAnsi="Yu Mincho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Yu Mincho" w:eastAsia="新細明體" w:hAnsi="Yu Mincho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Yu Mincho" w:eastAsia="新細明體" w:hAnsi="Yu Mincho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Yu Mincho" w:eastAsia="新細明體" w:hAnsi="Yu Mincho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3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2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071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8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3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4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9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0428B-C900-41AC-99AF-51F1A640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2020-02-14T13:51:00Z</dcterms:created>
  <dcterms:modified xsi:type="dcterms:W3CDTF">2020-02-14T15:50:00Z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